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11EA3" w14:textId="743096AE" w:rsidR="001412EE" w:rsidRDefault="001412EE" w:rsidP="001412EE">
      <w:pPr>
        <w:pStyle w:val="Title"/>
        <w:widowControl/>
        <w:suppressLineNumbers/>
        <w:ind w:left="1440" w:hanging="1440"/>
      </w:pPr>
      <w:r>
        <w:t>REBUTTAL TESTIMONY OF</w:t>
      </w:r>
    </w:p>
    <w:p w14:paraId="72515570" w14:textId="77777777" w:rsidR="001412EE" w:rsidRDefault="001412EE" w:rsidP="001412EE">
      <w:pPr>
        <w:widowControl/>
        <w:suppressLineNumbers/>
        <w:spacing w:line="360" w:lineRule="auto"/>
        <w:jc w:val="center"/>
        <w:rPr>
          <w:b/>
          <w:sz w:val="24"/>
        </w:rPr>
      </w:pPr>
      <w:r>
        <w:rPr>
          <w:b/>
          <w:sz w:val="24"/>
        </w:rPr>
        <w:t>LARRY T. LEGG AND LAWRENCE J VOGT</w:t>
      </w:r>
    </w:p>
    <w:p w14:paraId="35479E34" w14:textId="77777777" w:rsidR="001412EE" w:rsidRDefault="001412EE" w:rsidP="001412EE">
      <w:pPr>
        <w:widowControl/>
        <w:suppressLineNumbers/>
        <w:spacing w:line="360" w:lineRule="auto"/>
        <w:jc w:val="center"/>
        <w:rPr>
          <w:b/>
          <w:sz w:val="24"/>
        </w:rPr>
      </w:pPr>
      <w:r>
        <w:rPr>
          <w:b/>
          <w:sz w:val="24"/>
        </w:rPr>
        <w:t>ON BEHALF OF GEORGIA POWER COMPANY</w:t>
      </w:r>
    </w:p>
    <w:p w14:paraId="178CF5C1" w14:textId="77777777" w:rsidR="001412EE" w:rsidRDefault="001412EE" w:rsidP="001412EE">
      <w:pPr>
        <w:widowControl/>
        <w:suppressLineNumbers/>
        <w:spacing w:line="360" w:lineRule="auto"/>
        <w:jc w:val="center"/>
        <w:rPr>
          <w:b/>
          <w:sz w:val="24"/>
        </w:rPr>
      </w:pPr>
      <w:r>
        <w:rPr>
          <w:b/>
          <w:sz w:val="24"/>
        </w:rPr>
        <w:t>GPSC DOCKET NO. 42516</w:t>
      </w:r>
    </w:p>
    <w:p w14:paraId="15BC9DD2" w14:textId="77777777" w:rsidR="001412EE" w:rsidRDefault="001412EE" w:rsidP="001412EE">
      <w:pPr>
        <w:widowControl/>
        <w:suppressLineNumbers/>
        <w:spacing w:line="360" w:lineRule="auto"/>
        <w:jc w:val="both"/>
        <w:rPr>
          <w:b/>
          <w:sz w:val="24"/>
        </w:rPr>
      </w:pPr>
    </w:p>
    <w:p w14:paraId="7FFF374F" w14:textId="77777777" w:rsidR="001412EE" w:rsidRDefault="001412EE" w:rsidP="001412EE">
      <w:pPr>
        <w:widowControl/>
        <w:suppressLineNumbers/>
        <w:spacing w:line="360" w:lineRule="auto"/>
        <w:jc w:val="center"/>
        <w:rPr>
          <w:b/>
          <w:sz w:val="24"/>
        </w:rPr>
      </w:pPr>
      <w:r>
        <w:rPr>
          <w:b/>
          <w:sz w:val="24"/>
        </w:rPr>
        <w:t xml:space="preserve">I.  </w:t>
      </w:r>
      <w:r w:rsidRPr="009B3D4E">
        <w:rPr>
          <w:b/>
          <w:sz w:val="24"/>
          <w:u w:val="single"/>
        </w:rPr>
        <w:t>INTRODUCTION</w:t>
      </w:r>
    </w:p>
    <w:p w14:paraId="7CF9D079" w14:textId="77777777" w:rsidR="001412EE" w:rsidRDefault="001412EE" w:rsidP="001412EE">
      <w:pPr>
        <w:widowControl/>
        <w:suppressLineNumbers/>
        <w:spacing w:line="360" w:lineRule="auto"/>
        <w:jc w:val="center"/>
        <w:rPr>
          <w:b/>
          <w:sz w:val="24"/>
        </w:rPr>
      </w:pPr>
    </w:p>
    <w:p w14:paraId="16BFBF0D" w14:textId="77777777" w:rsidR="001412EE" w:rsidRDefault="001412EE" w:rsidP="001412EE">
      <w:pPr>
        <w:widowControl/>
        <w:spacing w:line="360" w:lineRule="auto"/>
        <w:jc w:val="both"/>
        <w:rPr>
          <w:b/>
          <w:sz w:val="24"/>
        </w:rPr>
      </w:pPr>
      <w:r>
        <w:rPr>
          <w:b/>
          <w:sz w:val="24"/>
        </w:rPr>
        <w:t>Q.</w:t>
      </w:r>
      <w:r>
        <w:rPr>
          <w:b/>
          <w:sz w:val="24"/>
        </w:rPr>
        <w:tab/>
        <w:t>PLEASE STATE YOUR NAMES, TITLE AND BUSINESS ADDRESS.</w:t>
      </w:r>
    </w:p>
    <w:p w14:paraId="55110A65" w14:textId="77777777" w:rsidR="001412EE" w:rsidRDefault="001412EE" w:rsidP="001412EE">
      <w:pPr>
        <w:pStyle w:val="BodyTextIndent"/>
        <w:widowControl/>
        <w:ind w:left="720" w:hanging="720"/>
      </w:pPr>
      <w:r>
        <w:t>A.</w:t>
      </w:r>
      <w:r>
        <w:tab/>
        <w:t>Larry T. Legg</w:t>
      </w:r>
      <w:r w:rsidRPr="00450103">
        <w:t>,</w:t>
      </w:r>
      <w:r>
        <w:t xml:space="preserve"> Director of </w:t>
      </w:r>
      <w:r w:rsidRPr="00450103">
        <w:t xml:space="preserve">Pricing and </w:t>
      </w:r>
      <w:r>
        <w:t>Rates for</w:t>
      </w:r>
      <w:r w:rsidRPr="00450103">
        <w:t xml:space="preserve"> Georgia Power Company (“Georgia Power” or the “Company”), 241 Ralph McGill Boulevard, Atlanta, Georgia 30308.</w:t>
      </w:r>
    </w:p>
    <w:p w14:paraId="09C8B922" w14:textId="77777777" w:rsidR="001412EE" w:rsidRDefault="001412EE" w:rsidP="001412EE">
      <w:pPr>
        <w:pStyle w:val="BodyTextIndent"/>
        <w:widowControl/>
        <w:ind w:left="720" w:hanging="720"/>
      </w:pPr>
    </w:p>
    <w:p w14:paraId="74730B2A" w14:textId="082C6A3D" w:rsidR="001412EE" w:rsidRDefault="001412EE" w:rsidP="001412EE">
      <w:pPr>
        <w:pStyle w:val="Answer"/>
        <w:numPr>
          <w:ilvl w:val="0"/>
          <w:numId w:val="0"/>
        </w:numPr>
        <w:tabs>
          <w:tab w:val="left" w:pos="720"/>
        </w:tabs>
        <w:spacing w:after="0" w:line="360" w:lineRule="auto"/>
        <w:ind w:left="744" w:hanging="744"/>
      </w:pPr>
      <w:r>
        <w:t>A.</w:t>
      </w:r>
      <w:r>
        <w:tab/>
        <w:t>Lawrence J. Vogt</w:t>
      </w:r>
      <w:r w:rsidRPr="00777C4E">
        <w:t xml:space="preserve">, </w:t>
      </w:r>
      <w:r>
        <w:t>21093 Pineville Road</w:t>
      </w:r>
      <w:r w:rsidRPr="00777C4E">
        <w:t xml:space="preserve">, </w:t>
      </w:r>
      <w:r>
        <w:t>Long Beach</w:t>
      </w:r>
      <w:r w:rsidRPr="00777C4E">
        <w:t xml:space="preserve">, </w:t>
      </w:r>
      <w:r>
        <w:t>Mississippi</w:t>
      </w:r>
      <w:r w:rsidRPr="00777C4E">
        <w:t xml:space="preserve"> </w:t>
      </w:r>
      <w:r>
        <w:t>39560</w:t>
      </w:r>
      <w:r w:rsidRPr="00777C4E">
        <w:t xml:space="preserve">. I am </w:t>
      </w:r>
      <w:r>
        <w:t>the President and Principal Consultant of Vogtage Engineering Corporation</w:t>
      </w:r>
      <w:r w:rsidRPr="00777C4E">
        <w:t>.</w:t>
      </w:r>
    </w:p>
    <w:p w14:paraId="7C8044D6" w14:textId="77777777" w:rsidR="001412EE" w:rsidRDefault="001412EE" w:rsidP="001412EE">
      <w:pPr>
        <w:pStyle w:val="BodyTextIndent"/>
        <w:widowControl/>
        <w:ind w:left="720" w:hanging="720"/>
      </w:pPr>
    </w:p>
    <w:p w14:paraId="5FDDCC3D" w14:textId="77777777" w:rsidR="001412EE" w:rsidRDefault="001412EE" w:rsidP="001412EE">
      <w:pPr>
        <w:widowControl/>
        <w:spacing w:line="360" w:lineRule="auto"/>
        <w:ind w:left="720" w:hanging="720"/>
        <w:jc w:val="both"/>
        <w:rPr>
          <w:b/>
          <w:sz w:val="24"/>
        </w:rPr>
      </w:pPr>
      <w:r>
        <w:rPr>
          <w:b/>
          <w:sz w:val="24"/>
        </w:rPr>
        <w:t>Q.</w:t>
      </w:r>
      <w:r>
        <w:rPr>
          <w:b/>
          <w:sz w:val="24"/>
        </w:rPr>
        <w:tab/>
        <w:t>MR. LEGG AND MR. VOGT, DID YOU PRESENT DIRECT TESTIMONY AND EXHIBITS ON BEHALF OF GEORGIA POWER IN THIS PROCEEDING?</w:t>
      </w:r>
    </w:p>
    <w:p w14:paraId="5AF11BCC" w14:textId="77777777" w:rsidR="001412EE" w:rsidRPr="00F10C3D" w:rsidRDefault="001412EE" w:rsidP="001412EE">
      <w:pPr>
        <w:widowControl/>
        <w:spacing w:line="360" w:lineRule="auto"/>
        <w:ind w:left="720" w:hanging="720"/>
        <w:jc w:val="both"/>
        <w:rPr>
          <w:sz w:val="24"/>
          <w:szCs w:val="24"/>
        </w:rPr>
      </w:pPr>
      <w:r>
        <w:rPr>
          <w:sz w:val="24"/>
        </w:rPr>
        <w:t xml:space="preserve"> </w:t>
      </w:r>
      <w:r w:rsidRPr="00F10C3D">
        <w:rPr>
          <w:sz w:val="24"/>
          <w:szCs w:val="24"/>
        </w:rPr>
        <w:t>A.</w:t>
      </w:r>
      <w:r w:rsidRPr="00F10C3D">
        <w:rPr>
          <w:sz w:val="24"/>
          <w:szCs w:val="24"/>
        </w:rPr>
        <w:tab/>
        <w:t>Yes.</w:t>
      </w:r>
    </w:p>
    <w:p w14:paraId="6EC44091" w14:textId="77777777" w:rsidR="001412EE" w:rsidRDefault="001412EE" w:rsidP="001412EE">
      <w:pPr>
        <w:pStyle w:val="BodyTextIndent2"/>
        <w:widowControl/>
        <w:ind w:left="0" w:firstLine="0"/>
      </w:pPr>
    </w:p>
    <w:p w14:paraId="79EDE43F" w14:textId="77777777" w:rsidR="001412EE" w:rsidRDefault="001412EE" w:rsidP="001412EE">
      <w:pPr>
        <w:pStyle w:val="Heading1"/>
        <w:widowControl/>
      </w:pPr>
      <w:r>
        <w:t>WHAT IS THE PURPOSE OF YOUR REBUTTAL TESTIMONY?</w:t>
      </w:r>
    </w:p>
    <w:p w14:paraId="365A428B" w14:textId="7F353544" w:rsidR="001412EE" w:rsidRDefault="001412EE" w:rsidP="001412EE">
      <w:pPr>
        <w:widowControl/>
        <w:spacing w:line="360" w:lineRule="auto"/>
        <w:ind w:left="720" w:hanging="720"/>
        <w:jc w:val="both"/>
      </w:pPr>
      <w:r>
        <w:rPr>
          <w:sz w:val="24"/>
        </w:rPr>
        <w:t>A.</w:t>
      </w:r>
      <w:r>
        <w:rPr>
          <w:sz w:val="24"/>
        </w:rPr>
        <w:tab/>
        <w:t xml:space="preserve">The purpose of our testimony is to respond to recommendations made by the Georgia Public Service Commission’s (“Commission”) Public Interest Advocacy (“PIA”) Staff and </w:t>
      </w:r>
      <w:r w:rsidR="006127A4">
        <w:rPr>
          <w:sz w:val="24"/>
        </w:rPr>
        <w:t>Intervenor</w:t>
      </w:r>
      <w:r>
        <w:rPr>
          <w:sz w:val="24"/>
        </w:rPr>
        <w:t xml:space="preserve">s as </w:t>
      </w:r>
      <w:r w:rsidR="00FD3143">
        <w:rPr>
          <w:sz w:val="24"/>
        </w:rPr>
        <w:t>they</w:t>
      </w:r>
      <w:r>
        <w:rPr>
          <w:sz w:val="24"/>
        </w:rPr>
        <w:t xml:space="preserve"> relate to rate design and cost</w:t>
      </w:r>
      <w:r w:rsidR="00361A60">
        <w:rPr>
          <w:sz w:val="24"/>
        </w:rPr>
        <w:t>-</w:t>
      </w:r>
      <w:r>
        <w:rPr>
          <w:sz w:val="24"/>
        </w:rPr>
        <w:t>of</w:t>
      </w:r>
      <w:r w:rsidR="00361A60">
        <w:rPr>
          <w:sz w:val="24"/>
        </w:rPr>
        <w:t>-</w:t>
      </w:r>
      <w:r>
        <w:rPr>
          <w:sz w:val="24"/>
        </w:rPr>
        <w:t xml:space="preserve">service. </w:t>
      </w:r>
      <w:r w:rsidRPr="00523DEF">
        <w:rPr>
          <w:sz w:val="24"/>
        </w:rPr>
        <w:t xml:space="preserve">We note, however, that the fact that we may not specifically address a particular recommendation </w:t>
      </w:r>
      <w:r w:rsidR="005B2B74">
        <w:rPr>
          <w:sz w:val="24"/>
        </w:rPr>
        <w:t>made by PIA</w:t>
      </w:r>
      <w:r w:rsidRPr="00523DEF">
        <w:rPr>
          <w:sz w:val="24"/>
        </w:rPr>
        <w:t xml:space="preserve"> Staff or </w:t>
      </w:r>
      <w:r w:rsidR="00C24C2E">
        <w:rPr>
          <w:sz w:val="24"/>
        </w:rPr>
        <w:t xml:space="preserve">an </w:t>
      </w:r>
      <w:r w:rsidR="006127A4">
        <w:rPr>
          <w:sz w:val="24"/>
        </w:rPr>
        <w:t>Intervenor</w:t>
      </w:r>
      <w:r w:rsidRPr="00523DEF">
        <w:rPr>
          <w:sz w:val="24"/>
        </w:rPr>
        <w:t xml:space="preserve"> in this testimony should not be construed as support for such</w:t>
      </w:r>
      <w:r w:rsidR="00A73E0A">
        <w:rPr>
          <w:sz w:val="24"/>
        </w:rPr>
        <w:t xml:space="preserve"> </w:t>
      </w:r>
      <w:r w:rsidRPr="00523DEF">
        <w:rPr>
          <w:sz w:val="24"/>
        </w:rPr>
        <w:t>position.</w:t>
      </w:r>
    </w:p>
    <w:p w14:paraId="3FB79980" w14:textId="77777777" w:rsidR="001412EE" w:rsidRDefault="001412EE" w:rsidP="001412EE">
      <w:pPr>
        <w:widowControl/>
        <w:spacing w:line="360" w:lineRule="auto"/>
        <w:ind w:left="720" w:hanging="720"/>
        <w:jc w:val="both"/>
        <w:rPr>
          <w:sz w:val="24"/>
          <w:szCs w:val="24"/>
        </w:rPr>
      </w:pPr>
    </w:p>
    <w:p w14:paraId="01889686" w14:textId="77777777" w:rsidR="001412EE" w:rsidRPr="00523DEF" w:rsidRDefault="001412EE" w:rsidP="00FD3143">
      <w:pPr>
        <w:keepNext/>
        <w:widowControl/>
        <w:tabs>
          <w:tab w:val="left" w:pos="720"/>
        </w:tabs>
        <w:spacing w:line="360" w:lineRule="auto"/>
        <w:ind w:left="720" w:hanging="720"/>
        <w:jc w:val="both"/>
        <w:rPr>
          <w:rFonts w:eastAsia="MS Mincho"/>
          <w:bCs/>
          <w:sz w:val="24"/>
          <w:szCs w:val="24"/>
        </w:rPr>
      </w:pPr>
      <w:r w:rsidRPr="00523DEF">
        <w:rPr>
          <w:rFonts w:eastAsia="MS Mincho"/>
          <w:b/>
          <w:bCs/>
          <w:sz w:val="24"/>
          <w:szCs w:val="24"/>
        </w:rPr>
        <w:lastRenderedPageBreak/>
        <w:t>Q.</w:t>
      </w:r>
      <w:r w:rsidRPr="00523DEF">
        <w:rPr>
          <w:rFonts w:eastAsia="MS Mincho"/>
          <w:b/>
          <w:bCs/>
          <w:sz w:val="24"/>
          <w:szCs w:val="24"/>
        </w:rPr>
        <w:tab/>
        <w:t>PLEASE SUMMARIZE YOUR TESTIMONY.</w:t>
      </w:r>
    </w:p>
    <w:p w14:paraId="6F1653E9" w14:textId="77CB9BE0" w:rsidR="00171EB2" w:rsidRDefault="001412EE" w:rsidP="00FD3143">
      <w:pPr>
        <w:keepNext/>
        <w:widowControl/>
        <w:spacing w:line="360" w:lineRule="auto"/>
        <w:ind w:left="720" w:hanging="720"/>
        <w:jc w:val="both"/>
        <w:rPr>
          <w:sz w:val="24"/>
          <w:szCs w:val="24"/>
        </w:rPr>
      </w:pPr>
      <w:r w:rsidRPr="00523DEF">
        <w:rPr>
          <w:sz w:val="24"/>
          <w:szCs w:val="24"/>
        </w:rPr>
        <w:t>A.</w:t>
      </w:r>
      <w:r w:rsidRPr="00523DEF">
        <w:rPr>
          <w:sz w:val="24"/>
          <w:szCs w:val="24"/>
        </w:rPr>
        <w:tab/>
      </w:r>
      <w:r w:rsidR="00523903">
        <w:rPr>
          <w:sz w:val="24"/>
          <w:szCs w:val="24"/>
        </w:rPr>
        <w:t>The Company’s portfolio of rates proposed in this case offer</w:t>
      </w:r>
      <w:r w:rsidR="000D0493">
        <w:rPr>
          <w:sz w:val="24"/>
          <w:szCs w:val="24"/>
        </w:rPr>
        <w:t>s</w:t>
      </w:r>
      <w:r w:rsidR="00523903">
        <w:rPr>
          <w:sz w:val="24"/>
          <w:szCs w:val="24"/>
        </w:rPr>
        <w:t xml:space="preserve"> optionality for customers while supporting a gradual move toward more modern rates. Although the Company is seeking a rate increase, Georgia Power believes its proposal recovers costs in </w:t>
      </w:r>
      <w:r w:rsidR="000D0493">
        <w:rPr>
          <w:sz w:val="24"/>
          <w:szCs w:val="24"/>
        </w:rPr>
        <w:t xml:space="preserve">a </w:t>
      </w:r>
      <w:r w:rsidR="00523903">
        <w:rPr>
          <w:sz w:val="24"/>
          <w:szCs w:val="24"/>
        </w:rPr>
        <w:t xml:space="preserve">fair and reasonable manner that better aligns the prices customers pay with the costs that drive them. </w:t>
      </w:r>
    </w:p>
    <w:p w14:paraId="6E848D11" w14:textId="312B4A56" w:rsidR="00523903" w:rsidRDefault="00523903" w:rsidP="00171EB2">
      <w:pPr>
        <w:widowControl/>
        <w:spacing w:line="360" w:lineRule="auto"/>
        <w:ind w:left="720" w:hanging="720"/>
        <w:jc w:val="both"/>
        <w:rPr>
          <w:sz w:val="24"/>
          <w:szCs w:val="24"/>
        </w:rPr>
      </w:pPr>
    </w:p>
    <w:p w14:paraId="64CFA200" w14:textId="162D6346" w:rsidR="00523903" w:rsidRDefault="00523903" w:rsidP="00171EB2">
      <w:pPr>
        <w:widowControl/>
        <w:spacing w:line="360" w:lineRule="auto"/>
        <w:ind w:left="720" w:hanging="720"/>
        <w:jc w:val="both"/>
        <w:rPr>
          <w:sz w:val="24"/>
          <w:szCs w:val="24"/>
        </w:rPr>
      </w:pPr>
      <w:r>
        <w:rPr>
          <w:sz w:val="24"/>
          <w:szCs w:val="24"/>
        </w:rPr>
        <w:tab/>
        <w:t xml:space="preserve">The Company has employed the minimum distribution system (“MDS”) methodology to classify customer-related costs for decades and believes it </w:t>
      </w:r>
      <w:r w:rsidR="001F3DEE">
        <w:rPr>
          <w:sz w:val="24"/>
          <w:szCs w:val="24"/>
        </w:rPr>
        <w:t xml:space="preserve">is </w:t>
      </w:r>
      <w:r>
        <w:rPr>
          <w:sz w:val="24"/>
          <w:szCs w:val="24"/>
        </w:rPr>
        <w:t>appropriate to continue to do so in this case. While the MDS includes the customer related costs captured by the Basic Customer Method, advocated for by PIA Staff</w:t>
      </w:r>
      <w:r w:rsidR="0055473D">
        <w:rPr>
          <w:sz w:val="24"/>
          <w:szCs w:val="24"/>
        </w:rPr>
        <w:t xml:space="preserve"> and </w:t>
      </w:r>
      <w:r w:rsidR="006127A4">
        <w:rPr>
          <w:sz w:val="24"/>
          <w:szCs w:val="24"/>
        </w:rPr>
        <w:t>Intervenor</w:t>
      </w:r>
      <w:r w:rsidR="0055473D">
        <w:rPr>
          <w:sz w:val="24"/>
          <w:szCs w:val="24"/>
        </w:rPr>
        <w:t>s</w:t>
      </w:r>
      <w:r>
        <w:rPr>
          <w:sz w:val="24"/>
          <w:szCs w:val="24"/>
        </w:rPr>
        <w:t>, it also appropriate</w:t>
      </w:r>
      <w:r w:rsidR="0055473D">
        <w:rPr>
          <w:sz w:val="24"/>
          <w:szCs w:val="24"/>
        </w:rPr>
        <w:t>ly</w:t>
      </w:r>
      <w:r>
        <w:rPr>
          <w:sz w:val="24"/>
          <w:szCs w:val="24"/>
        </w:rPr>
        <w:t xml:space="preserve"> includes</w:t>
      </w:r>
      <w:r w:rsidR="0055473D">
        <w:rPr>
          <w:sz w:val="24"/>
          <w:szCs w:val="24"/>
        </w:rPr>
        <w:t xml:space="preserve"> the equipment costs necessary to provide safe and reliable service that are unrelated to customer demand. The Company does not support classifying or collecting such fixed customer-related costs through the variable energy portion of customer rates.</w:t>
      </w:r>
    </w:p>
    <w:p w14:paraId="72BC33E6" w14:textId="33A2F070" w:rsidR="0055473D" w:rsidRDefault="0055473D" w:rsidP="00171EB2">
      <w:pPr>
        <w:widowControl/>
        <w:spacing w:line="360" w:lineRule="auto"/>
        <w:ind w:left="720" w:hanging="720"/>
        <w:jc w:val="both"/>
        <w:rPr>
          <w:sz w:val="24"/>
          <w:szCs w:val="24"/>
        </w:rPr>
      </w:pPr>
    </w:p>
    <w:p w14:paraId="0CEED47A" w14:textId="30839D36" w:rsidR="0055473D" w:rsidRDefault="0055473D" w:rsidP="00171EB2">
      <w:pPr>
        <w:widowControl/>
        <w:spacing w:line="360" w:lineRule="auto"/>
        <w:ind w:left="720" w:hanging="720"/>
        <w:jc w:val="both"/>
        <w:rPr>
          <w:sz w:val="24"/>
          <w:szCs w:val="24"/>
        </w:rPr>
      </w:pPr>
      <w:r>
        <w:rPr>
          <w:sz w:val="24"/>
          <w:szCs w:val="24"/>
        </w:rPr>
        <w:tab/>
        <w:t>As such, the Company has proposed to gradually increase the</w:t>
      </w:r>
      <w:r w:rsidR="00A73E0A">
        <w:rPr>
          <w:sz w:val="24"/>
          <w:szCs w:val="24"/>
        </w:rPr>
        <w:t xml:space="preserve"> residential</w:t>
      </w:r>
      <w:r>
        <w:rPr>
          <w:sz w:val="24"/>
          <w:szCs w:val="24"/>
        </w:rPr>
        <w:t xml:space="preserve"> Basic Service Charge (“BSC”) to better align fixed customer costs with the fixed portion of customer rates. </w:t>
      </w:r>
      <w:r w:rsidR="00A37182">
        <w:rPr>
          <w:sz w:val="24"/>
          <w:szCs w:val="24"/>
        </w:rPr>
        <w:t xml:space="preserve">Contrary to PIA Staff and </w:t>
      </w:r>
      <w:r w:rsidR="006127A4">
        <w:rPr>
          <w:sz w:val="24"/>
          <w:szCs w:val="24"/>
        </w:rPr>
        <w:t>Intervenor</w:t>
      </w:r>
      <w:r w:rsidR="00A37182">
        <w:rPr>
          <w:sz w:val="24"/>
          <w:szCs w:val="24"/>
        </w:rPr>
        <w:t xml:space="preserve"> allegations, the Company</w:t>
      </w:r>
      <w:r w:rsidR="007F6729">
        <w:rPr>
          <w:sz w:val="24"/>
          <w:szCs w:val="24"/>
        </w:rPr>
        <w:t>’s</w:t>
      </w:r>
      <w:r w:rsidR="00A37182">
        <w:rPr>
          <w:sz w:val="24"/>
          <w:szCs w:val="24"/>
        </w:rPr>
        <w:t xml:space="preserve"> proposed changes to the BSC </w:t>
      </w:r>
      <w:r w:rsidR="007F6729">
        <w:rPr>
          <w:sz w:val="24"/>
          <w:szCs w:val="24"/>
        </w:rPr>
        <w:t xml:space="preserve">won’t </w:t>
      </w:r>
      <w:r w:rsidR="00A37182">
        <w:rPr>
          <w:sz w:val="24"/>
          <w:szCs w:val="24"/>
        </w:rPr>
        <w:t xml:space="preserve">discourage energy efficiency or distributed generation, nor does it have a </w:t>
      </w:r>
      <w:r w:rsidR="00A73E0A">
        <w:rPr>
          <w:sz w:val="24"/>
          <w:szCs w:val="24"/>
        </w:rPr>
        <w:t xml:space="preserve">significant negative </w:t>
      </w:r>
      <w:r w:rsidR="00A37182">
        <w:rPr>
          <w:sz w:val="24"/>
          <w:szCs w:val="24"/>
        </w:rPr>
        <w:t xml:space="preserve">impact on the majority of the Company’s low-income customers. In fact, the Company’s recommended changes aim to </w:t>
      </w:r>
      <w:r w:rsidR="009276A0">
        <w:rPr>
          <w:sz w:val="24"/>
          <w:szCs w:val="24"/>
        </w:rPr>
        <w:t xml:space="preserve">address </w:t>
      </w:r>
      <w:r w:rsidR="00A37182">
        <w:rPr>
          <w:sz w:val="24"/>
          <w:szCs w:val="24"/>
        </w:rPr>
        <w:t>cost shifting that negatively impact</w:t>
      </w:r>
      <w:r w:rsidR="009276A0">
        <w:rPr>
          <w:sz w:val="24"/>
          <w:szCs w:val="24"/>
        </w:rPr>
        <w:t>s</w:t>
      </w:r>
      <w:r w:rsidR="00A37182">
        <w:rPr>
          <w:sz w:val="24"/>
          <w:szCs w:val="24"/>
        </w:rPr>
        <w:t xml:space="preserve"> low-income customers</w:t>
      </w:r>
      <w:r w:rsidR="00EA6B9B">
        <w:rPr>
          <w:sz w:val="24"/>
          <w:szCs w:val="24"/>
        </w:rPr>
        <w:t xml:space="preserve"> </w:t>
      </w:r>
      <w:r w:rsidR="00D559A5">
        <w:rPr>
          <w:sz w:val="24"/>
          <w:szCs w:val="24"/>
        </w:rPr>
        <w:t xml:space="preserve">by collecting </w:t>
      </w:r>
      <w:r w:rsidR="00EA6B9B">
        <w:rPr>
          <w:sz w:val="24"/>
          <w:szCs w:val="24"/>
        </w:rPr>
        <w:t>fixed costs through volumetric energy-related charges</w:t>
      </w:r>
      <w:r w:rsidR="00A37182">
        <w:rPr>
          <w:sz w:val="24"/>
          <w:szCs w:val="24"/>
        </w:rPr>
        <w:t xml:space="preserve">. PIA Staff and </w:t>
      </w:r>
      <w:r w:rsidR="006127A4">
        <w:rPr>
          <w:sz w:val="24"/>
          <w:szCs w:val="24"/>
        </w:rPr>
        <w:t>Intervenor</w:t>
      </w:r>
      <w:r w:rsidR="00A37182">
        <w:rPr>
          <w:sz w:val="24"/>
          <w:szCs w:val="24"/>
        </w:rPr>
        <w:t xml:space="preserve"> arguments for </w:t>
      </w:r>
      <w:r w:rsidR="00D559A5">
        <w:rPr>
          <w:sz w:val="24"/>
          <w:szCs w:val="24"/>
        </w:rPr>
        <w:t xml:space="preserve">minimal or </w:t>
      </w:r>
      <w:r w:rsidR="00A37182">
        <w:rPr>
          <w:sz w:val="24"/>
          <w:szCs w:val="24"/>
        </w:rPr>
        <w:t>no change in the BSC w</w:t>
      </w:r>
      <w:r w:rsidR="009C2D05">
        <w:rPr>
          <w:sz w:val="24"/>
          <w:szCs w:val="24"/>
        </w:rPr>
        <w:t xml:space="preserve">ould prevent the Company from </w:t>
      </w:r>
      <w:r w:rsidR="00A37182">
        <w:rPr>
          <w:sz w:val="24"/>
          <w:szCs w:val="24"/>
        </w:rPr>
        <w:t>sufficiently recover</w:t>
      </w:r>
      <w:r w:rsidR="009C2D05">
        <w:rPr>
          <w:sz w:val="24"/>
          <w:szCs w:val="24"/>
        </w:rPr>
        <w:t>ing</w:t>
      </w:r>
      <w:r w:rsidR="00A37182">
        <w:rPr>
          <w:sz w:val="24"/>
          <w:szCs w:val="24"/>
        </w:rPr>
        <w:t xml:space="preserve"> the Company’s fixed costs to serve customers and will cause the Company to recover these costs through increases to </w:t>
      </w:r>
      <w:r w:rsidR="00A73E0A">
        <w:rPr>
          <w:sz w:val="24"/>
          <w:szCs w:val="24"/>
        </w:rPr>
        <w:t xml:space="preserve">variable </w:t>
      </w:r>
      <w:r w:rsidR="00A37182">
        <w:rPr>
          <w:sz w:val="24"/>
          <w:szCs w:val="24"/>
        </w:rPr>
        <w:t xml:space="preserve">energy rates. This </w:t>
      </w:r>
      <w:r w:rsidR="00D559A5">
        <w:rPr>
          <w:sz w:val="24"/>
          <w:szCs w:val="24"/>
        </w:rPr>
        <w:t xml:space="preserve">method of recovering fixed costs </w:t>
      </w:r>
      <w:r w:rsidR="00A37182">
        <w:rPr>
          <w:sz w:val="24"/>
          <w:szCs w:val="24"/>
        </w:rPr>
        <w:t xml:space="preserve">is not in the best interest of customers or the Company. </w:t>
      </w:r>
    </w:p>
    <w:p w14:paraId="187B3708" w14:textId="6260C68B" w:rsidR="00A37182" w:rsidRDefault="00A37182" w:rsidP="00171EB2">
      <w:pPr>
        <w:widowControl/>
        <w:spacing w:line="360" w:lineRule="auto"/>
        <w:ind w:left="720" w:hanging="720"/>
        <w:jc w:val="both"/>
        <w:rPr>
          <w:sz w:val="24"/>
          <w:szCs w:val="24"/>
        </w:rPr>
      </w:pPr>
    </w:p>
    <w:p w14:paraId="259B5F61" w14:textId="35463548" w:rsidR="0055473D" w:rsidRDefault="00A37182" w:rsidP="00E25675">
      <w:pPr>
        <w:widowControl/>
        <w:spacing w:line="360" w:lineRule="auto"/>
        <w:ind w:left="720" w:hanging="720"/>
        <w:jc w:val="both"/>
        <w:rPr>
          <w:sz w:val="24"/>
          <w:szCs w:val="24"/>
        </w:rPr>
      </w:pPr>
      <w:r>
        <w:rPr>
          <w:sz w:val="24"/>
          <w:szCs w:val="24"/>
        </w:rPr>
        <w:tab/>
        <w:t>The Company</w:t>
      </w:r>
      <w:r w:rsidR="0052234E">
        <w:rPr>
          <w:sz w:val="24"/>
          <w:szCs w:val="24"/>
        </w:rPr>
        <w:t xml:space="preserve"> also</w:t>
      </w:r>
      <w:r>
        <w:rPr>
          <w:sz w:val="24"/>
          <w:szCs w:val="24"/>
        </w:rPr>
        <w:t xml:space="preserve"> supports a gradual movement towards modern rate</w:t>
      </w:r>
      <w:r w:rsidR="00E25675">
        <w:rPr>
          <w:sz w:val="24"/>
          <w:szCs w:val="24"/>
        </w:rPr>
        <w:t xml:space="preserve"> design</w:t>
      </w:r>
      <w:r>
        <w:rPr>
          <w:sz w:val="24"/>
          <w:szCs w:val="24"/>
        </w:rPr>
        <w:t xml:space="preserve">s </w:t>
      </w:r>
      <w:r w:rsidR="00E25675">
        <w:rPr>
          <w:sz w:val="24"/>
          <w:szCs w:val="24"/>
        </w:rPr>
        <w:t xml:space="preserve">that send price signals that more appropriately reflect costs while maintaining sufficient optionality for customers. Georgia Power has requested to begin transitioning away from the more antiquated, volumetric option of </w:t>
      </w:r>
      <w:r w:rsidR="00A73E0A">
        <w:rPr>
          <w:sz w:val="24"/>
          <w:szCs w:val="24"/>
        </w:rPr>
        <w:t xml:space="preserve">the </w:t>
      </w:r>
      <w:r w:rsidR="00E25675">
        <w:rPr>
          <w:sz w:val="24"/>
          <w:szCs w:val="24"/>
        </w:rPr>
        <w:t>Residential Service (R</w:t>
      </w:r>
      <w:r w:rsidR="00E25675" w:rsidRPr="006127A4">
        <w:rPr>
          <w:sz w:val="24"/>
          <w:szCs w:val="24"/>
        </w:rPr>
        <w:t xml:space="preserve">) </w:t>
      </w:r>
      <w:r w:rsidR="00726FB0">
        <w:rPr>
          <w:sz w:val="24"/>
          <w:szCs w:val="24"/>
        </w:rPr>
        <w:t>t</w:t>
      </w:r>
      <w:r w:rsidR="00E25675" w:rsidRPr="006127A4">
        <w:rPr>
          <w:sz w:val="24"/>
          <w:szCs w:val="24"/>
        </w:rPr>
        <w:t>ariff (“</w:t>
      </w:r>
      <w:r w:rsidR="00D559A5" w:rsidRPr="006127A4">
        <w:rPr>
          <w:sz w:val="24"/>
          <w:szCs w:val="24"/>
        </w:rPr>
        <w:t>the</w:t>
      </w:r>
      <w:r w:rsidR="00E25675" w:rsidRPr="006127A4">
        <w:rPr>
          <w:sz w:val="24"/>
          <w:szCs w:val="24"/>
        </w:rPr>
        <w:t xml:space="preserve"> ‘R’ Rate”). If approved, customers</w:t>
      </w:r>
      <w:r w:rsidR="00E25675">
        <w:rPr>
          <w:sz w:val="24"/>
          <w:szCs w:val="24"/>
        </w:rPr>
        <w:t xml:space="preserve"> establishing service at new premises will be able to select from four of our most modern rate options. Then, after the initial year of service at those new premises, customers will be eligible for two additional rates, FlatBill and Pay by Day. Georgia Power does not support PIA </w:t>
      </w:r>
      <w:r w:rsidR="00E25675" w:rsidRPr="006127A4">
        <w:rPr>
          <w:sz w:val="24"/>
          <w:szCs w:val="24"/>
        </w:rPr>
        <w:t xml:space="preserve">Staff and </w:t>
      </w:r>
      <w:r w:rsidR="00D559A5" w:rsidRPr="006127A4">
        <w:rPr>
          <w:sz w:val="24"/>
          <w:szCs w:val="24"/>
        </w:rPr>
        <w:t xml:space="preserve">Intervenor </w:t>
      </w:r>
      <w:r w:rsidR="00E25675" w:rsidRPr="006127A4">
        <w:rPr>
          <w:sz w:val="24"/>
          <w:szCs w:val="24"/>
        </w:rPr>
        <w:t>requests</w:t>
      </w:r>
      <w:r w:rsidR="00E25675">
        <w:rPr>
          <w:sz w:val="24"/>
          <w:szCs w:val="24"/>
        </w:rPr>
        <w:t xml:space="preserve"> to modify the declining winter block rate structure or tiered blocks in the ‘R’ Rate.</w:t>
      </w:r>
    </w:p>
    <w:p w14:paraId="3A870A81" w14:textId="54F98BB9" w:rsidR="00E25675" w:rsidRDefault="00E25675" w:rsidP="00E25675">
      <w:pPr>
        <w:widowControl/>
        <w:spacing w:line="360" w:lineRule="auto"/>
        <w:ind w:left="720" w:hanging="720"/>
        <w:jc w:val="both"/>
        <w:rPr>
          <w:sz w:val="24"/>
          <w:szCs w:val="24"/>
        </w:rPr>
      </w:pPr>
    </w:p>
    <w:p w14:paraId="19579ADC" w14:textId="129B61A6" w:rsidR="000D07C2" w:rsidRDefault="00E25675" w:rsidP="00E25675">
      <w:pPr>
        <w:widowControl/>
        <w:spacing w:line="360" w:lineRule="auto"/>
        <w:ind w:left="720" w:hanging="720"/>
        <w:jc w:val="both"/>
        <w:rPr>
          <w:sz w:val="24"/>
          <w:szCs w:val="24"/>
        </w:rPr>
      </w:pPr>
      <w:r>
        <w:rPr>
          <w:sz w:val="24"/>
          <w:szCs w:val="24"/>
        </w:rPr>
        <w:tab/>
      </w:r>
      <w:r w:rsidR="0052234E">
        <w:rPr>
          <w:sz w:val="24"/>
          <w:szCs w:val="24"/>
        </w:rPr>
        <w:t>Although some parties suggest that the Company</w:t>
      </w:r>
      <w:r w:rsidR="008231BA">
        <w:rPr>
          <w:sz w:val="24"/>
          <w:szCs w:val="24"/>
        </w:rPr>
        <w:t xml:space="preserve"> should</w:t>
      </w:r>
      <w:r w:rsidR="0052234E">
        <w:rPr>
          <w:sz w:val="24"/>
          <w:szCs w:val="24"/>
        </w:rPr>
        <w:t xml:space="preserve"> move customers to more optimal rates, </w:t>
      </w:r>
      <w:r>
        <w:rPr>
          <w:sz w:val="24"/>
          <w:szCs w:val="24"/>
        </w:rPr>
        <w:t xml:space="preserve">to consolidate </w:t>
      </w:r>
      <w:r w:rsidR="000D07C2">
        <w:rPr>
          <w:sz w:val="24"/>
          <w:szCs w:val="24"/>
        </w:rPr>
        <w:t>customers onto fewer tariffs ultimately limits rate choices</w:t>
      </w:r>
      <w:r w:rsidR="0052234E">
        <w:rPr>
          <w:sz w:val="24"/>
          <w:szCs w:val="24"/>
        </w:rPr>
        <w:t>, is contradictory to Commission rules</w:t>
      </w:r>
      <w:r w:rsidR="009C2D05">
        <w:rPr>
          <w:sz w:val="24"/>
          <w:szCs w:val="24"/>
        </w:rPr>
        <w:t>,</w:t>
      </w:r>
      <w:r w:rsidR="000D07C2">
        <w:rPr>
          <w:sz w:val="24"/>
          <w:szCs w:val="24"/>
        </w:rPr>
        <w:t xml:space="preserve"> and </w:t>
      </w:r>
      <w:r w:rsidR="0052234E">
        <w:rPr>
          <w:sz w:val="24"/>
          <w:szCs w:val="24"/>
        </w:rPr>
        <w:t xml:space="preserve">potentially </w:t>
      </w:r>
      <w:r w:rsidR="000D07C2">
        <w:rPr>
          <w:sz w:val="24"/>
          <w:szCs w:val="24"/>
        </w:rPr>
        <w:t>causes revenue erosion that shifts costs among customers. As such, the Company does not support expanding the</w:t>
      </w:r>
      <w:r w:rsidR="00A73E0A">
        <w:rPr>
          <w:sz w:val="24"/>
          <w:szCs w:val="24"/>
        </w:rPr>
        <w:t xml:space="preserve"> Time of Use – Multiple Business</w:t>
      </w:r>
      <w:r w:rsidR="000D07C2">
        <w:rPr>
          <w:sz w:val="24"/>
          <w:szCs w:val="24"/>
        </w:rPr>
        <w:t xml:space="preserve"> </w:t>
      </w:r>
      <w:r w:rsidR="00A73E0A">
        <w:rPr>
          <w:sz w:val="24"/>
          <w:szCs w:val="24"/>
        </w:rPr>
        <w:t>(“</w:t>
      </w:r>
      <w:r w:rsidR="000D07C2">
        <w:rPr>
          <w:sz w:val="24"/>
          <w:szCs w:val="24"/>
        </w:rPr>
        <w:t>TOU-MB</w:t>
      </w:r>
      <w:r w:rsidR="00A73E0A">
        <w:rPr>
          <w:sz w:val="24"/>
          <w:szCs w:val="24"/>
        </w:rPr>
        <w:t>”)</w:t>
      </w:r>
      <w:r w:rsidR="000D07C2">
        <w:rPr>
          <w:sz w:val="24"/>
          <w:szCs w:val="24"/>
        </w:rPr>
        <w:t xml:space="preserve"> </w:t>
      </w:r>
      <w:r w:rsidR="00726FB0">
        <w:rPr>
          <w:sz w:val="24"/>
          <w:szCs w:val="24"/>
        </w:rPr>
        <w:t>t</w:t>
      </w:r>
      <w:r w:rsidR="000D07C2">
        <w:rPr>
          <w:sz w:val="24"/>
          <w:szCs w:val="24"/>
        </w:rPr>
        <w:t xml:space="preserve">ariff. </w:t>
      </w:r>
      <w:r w:rsidR="0052234E" w:rsidRPr="0052234E">
        <w:rPr>
          <w:sz w:val="24"/>
          <w:szCs w:val="24"/>
        </w:rPr>
        <w:t xml:space="preserve">Further, the Company believes its proposed edits to the Real Time Pricing (“RTP”) tariffs serve to protect other customers from </w:t>
      </w:r>
      <w:r w:rsidR="008231BA">
        <w:rPr>
          <w:sz w:val="24"/>
          <w:szCs w:val="24"/>
        </w:rPr>
        <w:t xml:space="preserve">the </w:t>
      </w:r>
      <w:r w:rsidR="0052234E" w:rsidRPr="0052234E">
        <w:rPr>
          <w:sz w:val="24"/>
          <w:szCs w:val="24"/>
        </w:rPr>
        <w:t xml:space="preserve">upward pressure on rates </w:t>
      </w:r>
      <w:r w:rsidR="00A96048">
        <w:rPr>
          <w:sz w:val="24"/>
          <w:szCs w:val="24"/>
        </w:rPr>
        <w:t xml:space="preserve">that </w:t>
      </w:r>
      <w:r w:rsidR="0052234E" w:rsidRPr="0052234E">
        <w:rPr>
          <w:sz w:val="24"/>
          <w:szCs w:val="24"/>
        </w:rPr>
        <w:t>result</w:t>
      </w:r>
      <w:r w:rsidR="00A96048">
        <w:rPr>
          <w:sz w:val="24"/>
          <w:szCs w:val="24"/>
        </w:rPr>
        <w:t>s</w:t>
      </w:r>
      <w:r w:rsidR="0052234E" w:rsidRPr="0052234E">
        <w:rPr>
          <w:sz w:val="24"/>
          <w:szCs w:val="24"/>
        </w:rPr>
        <w:t xml:space="preserve"> from the inappropriate conversion of embedded load into marginal load.  </w:t>
      </w:r>
      <w:r w:rsidR="00B76FEF">
        <w:rPr>
          <w:sz w:val="24"/>
          <w:szCs w:val="24"/>
        </w:rPr>
        <w:t xml:space="preserve"> </w:t>
      </w:r>
    </w:p>
    <w:p w14:paraId="38AC02F1" w14:textId="183D4D76" w:rsidR="000D07C2" w:rsidRDefault="000D07C2" w:rsidP="00E25675">
      <w:pPr>
        <w:widowControl/>
        <w:spacing w:line="360" w:lineRule="auto"/>
        <w:ind w:left="720" w:hanging="720"/>
        <w:jc w:val="both"/>
        <w:rPr>
          <w:sz w:val="24"/>
          <w:szCs w:val="24"/>
        </w:rPr>
      </w:pPr>
    </w:p>
    <w:p w14:paraId="02D16A55" w14:textId="4432DAFD" w:rsidR="00B76FEF" w:rsidRDefault="00B76FEF" w:rsidP="00B76FEF">
      <w:pPr>
        <w:widowControl/>
        <w:spacing w:line="360" w:lineRule="auto"/>
        <w:ind w:left="720" w:hanging="720"/>
        <w:jc w:val="both"/>
        <w:rPr>
          <w:sz w:val="24"/>
          <w:szCs w:val="24"/>
        </w:rPr>
      </w:pPr>
      <w:r>
        <w:rPr>
          <w:sz w:val="24"/>
          <w:szCs w:val="24"/>
        </w:rPr>
        <w:tab/>
        <w:t xml:space="preserve">The Commission-approved </w:t>
      </w:r>
      <w:r w:rsidR="007924FF">
        <w:rPr>
          <w:sz w:val="24"/>
          <w:szCs w:val="24"/>
        </w:rPr>
        <w:t>Renewable and Non-Renewable (“</w:t>
      </w:r>
      <w:r>
        <w:rPr>
          <w:sz w:val="24"/>
          <w:szCs w:val="24"/>
        </w:rPr>
        <w:t>RNR</w:t>
      </w:r>
      <w:r w:rsidR="007924FF">
        <w:rPr>
          <w:sz w:val="24"/>
          <w:szCs w:val="24"/>
        </w:rPr>
        <w:t>”)</w:t>
      </w:r>
      <w:r>
        <w:rPr>
          <w:sz w:val="24"/>
          <w:szCs w:val="24"/>
        </w:rPr>
        <w:t xml:space="preserve"> </w:t>
      </w:r>
      <w:r w:rsidR="00726FB0">
        <w:rPr>
          <w:sz w:val="24"/>
          <w:szCs w:val="24"/>
        </w:rPr>
        <w:t>t</w:t>
      </w:r>
      <w:r>
        <w:rPr>
          <w:sz w:val="24"/>
          <w:szCs w:val="24"/>
        </w:rPr>
        <w:t xml:space="preserve">ariff was </w:t>
      </w:r>
      <w:r w:rsidR="00E76F65">
        <w:rPr>
          <w:sz w:val="24"/>
          <w:szCs w:val="24"/>
        </w:rPr>
        <w:t xml:space="preserve">designed and </w:t>
      </w:r>
      <w:r>
        <w:rPr>
          <w:sz w:val="24"/>
          <w:szCs w:val="24"/>
        </w:rPr>
        <w:t>implemented to comply with the Georgia Cogeneration and Distributed Generation Act of 2001 (“Co</w:t>
      </w:r>
      <w:r w:rsidR="007924FF">
        <w:rPr>
          <w:sz w:val="24"/>
          <w:szCs w:val="24"/>
        </w:rPr>
        <w:t>g</w:t>
      </w:r>
      <w:r>
        <w:rPr>
          <w:sz w:val="24"/>
          <w:szCs w:val="24"/>
        </w:rPr>
        <w:t xml:space="preserve">en Act”) and has been approved in each </w:t>
      </w:r>
      <w:r w:rsidR="00E76F65">
        <w:rPr>
          <w:sz w:val="24"/>
          <w:szCs w:val="24"/>
        </w:rPr>
        <w:t>Georgia Power</w:t>
      </w:r>
      <w:r>
        <w:rPr>
          <w:sz w:val="24"/>
          <w:szCs w:val="24"/>
        </w:rPr>
        <w:t xml:space="preserve"> rate case since </w:t>
      </w:r>
      <w:r w:rsidR="00E76F65">
        <w:rPr>
          <w:sz w:val="24"/>
          <w:szCs w:val="24"/>
        </w:rPr>
        <w:t>it was initially approved</w:t>
      </w:r>
      <w:r>
        <w:rPr>
          <w:sz w:val="24"/>
          <w:szCs w:val="24"/>
        </w:rPr>
        <w:t>. GIPL/Southface/Vote Solar</w:t>
      </w:r>
      <w:r w:rsidR="00DE0539">
        <w:rPr>
          <w:sz w:val="24"/>
          <w:szCs w:val="24"/>
        </w:rPr>
        <w:t>’s</w:t>
      </w:r>
      <w:r>
        <w:rPr>
          <w:sz w:val="24"/>
          <w:szCs w:val="24"/>
        </w:rPr>
        <w:t xml:space="preserve"> allegations that the Company’s </w:t>
      </w:r>
      <w:r w:rsidR="00E76F65">
        <w:rPr>
          <w:sz w:val="24"/>
          <w:szCs w:val="24"/>
        </w:rPr>
        <w:t xml:space="preserve">method of measuring customer generated energy is not compliant with the </w:t>
      </w:r>
      <w:r w:rsidR="007924FF">
        <w:rPr>
          <w:sz w:val="24"/>
          <w:szCs w:val="24"/>
        </w:rPr>
        <w:t>Cogen</w:t>
      </w:r>
      <w:r w:rsidR="00E76F65">
        <w:rPr>
          <w:sz w:val="24"/>
          <w:szCs w:val="24"/>
        </w:rPr>
        <w:t xml:space="preserve"> Act are unfounded. Their challenge is essentially a request to change the Company’s metering practices in order to credit customers closer to the retail rate – which is an attempt to obtain </w:t>
      </w:r>
      <w:r w:rsidR="009B206A">
        <w:rPr>
          <w:sz w:val="24"/>
          <w:szCs w:val="24"/>
        </w:rPr>
        <w:t xml:space="preserve">a form of retail </w:t>
      </w:r>
      <w:r w:rsidR="00E76F65">
        <w:rPr>
          <w:sz w:val="24"/>
          <w:szCs w:val="24"/>
        </w:rPr>
        <w:t xml:space="preserve">net metering. The Company has consistently and fairly implemented the RNR </w:t>
      </w:r>
      <w:r w:rsidR="00726FB0">
        <w:rPr>
          <w:sz w:val="24"/>
          <w:szCs w:val="24"/>
        </w:rPr>
        <w:t xml:space="preserve">tariff </w:t>
      </w:r>
      <w:r w:rsidR="00E76F65">
        <w:rPr>
          <w:sz w:val="24"/>
          <w:szCs w:val="24"/>
        </w:rPr>
        <w:t xml:space="preserve">since </w:t>
      </w:r>
      <w:r w:rsidR="00DE0539">
        <w:rPr>
          <w:sz w:val="24"/>
          <w:szCs w:val="24"/>
        </w:rPr>
        <w:t>200</w:t>
      </w:r>
      <w:r w:rsidR="009C2D05">
        <w:rPr>
          <w:sz w:val="24"/>
          <w:szCs w:val="24"/>
        </w:rPr>
        <w:t>2</w:t>
      </w:r>
      <w:r w:rsidR="00E76F65">
        <w:rPr>
          <w:sz w:val="24"/>
          <w:szCs w:val="24"/>
        </w:rPr>
        <w:t xml:space="preserve"> and the Commission should not give undue weight to</w:t>
      </w:r>
      <w:r w:rsidR="0012214B">
        <w:rPr>
          <w:sz w:val="24"/>
          <w:szCs w:val="24"/>
        </w:rPr>
        <w:t xml:space="preserve"> </w:t>
      </w:r>
      <w:r w:rsidR="009B206A">
        <w:rPr>
          <w:sz w:val="24"/>
          <w:szCs w:val="24"/>
        </w:rPr>
        <w:t xml:space="preserve">this Intervenor’s </w:t>
      </w:r>
      <w:r w:rsidR="0012214B">
        <w:rPr>
          <w:sz w:val="24"/>
          <w:szCs w:val="24"/>
        </w:rPr>
        <w:t>challenge.</w:t>
      </w:r>
    </w:p>
    <w:p w14:paraId="19C2A5EC" w14:textId="77777777" w:rsidR="00B76FEF" w:rsidRDefault="000D07C2" w:rsidP="00E25675">
      <w:pPr>
        <w:widowControl/>
        <w:spacing w:line="360" w:lineRule="auto"/>
        <w:ind w:left="720" w:hanging="720"/>
        <w:jc w:val="both"/>
        <w:rPr>
          <w:sz w:val="24"/>
          <w:szCs w:val="24"/>
        </w:rPr>
      </w:pPr>
      <w:r>
        <w:rPr>
          <w:sz w:val="24"/>
          <w:szCs w:val="24"/>
        </w:rPr>
        <w:tab/>
      </w:r>
    </w:p>
    <w:p w14:paraId="4BD76F55" w14:textId="72635D7A" w:rsidR="000D07C2" w:rsidRDefault="00B76FEF" w:rsidP="009B206A">
      <w:pPr>
        <w:widowControl/>
        <w:spacing w:line="360" w:lineRule="auto"/>
        <w:ind w:left="720"/>
        <w:jc w:val="both"/>
        <w:rPr>
          <w:sz w:val="24"/>
          <w:szCs w:val="24"/>
        </w:rPr>
      </w:pPr>
      <w:r>
        <w:rPr>
          <w:sz w:val="24"/>
          <w:szCs w:val="24"/>
        </w:rPr>
        <w:t>The Company understands that c</w:t>
      </w:r>
      <w:r w:rsidR="000D07C2">
        <w:rPr>
          <w:sz w:val="24"/>
          <w:szCs w:val="24"/>
        </w:rPr>
        <w:t>ustomers consider many factors when choosing a rate</w:t>
      </w:r>
      <w:r>
        <w:rPr>
          <w:sz w:val="24"/>
          <w:szCs w:val="24"/>
        </w:rPr>
        <w:t>,</w:t>
      </w:r>
      <w:r w:rsidR="000D07C2">
        <w:rPr>
          <w:sz w:val="24"/>
          <w:szCs w:val="24"/>
        </w:rPr>
        <w:t xml:space="preserve"> such as economics, price risk and bill stability</w:t>
      </w:r>
      <w:r>
        <w:rPr>
          <w:sz w:val="24"/>
          <w:szCs w:val="24"/>
        </w:rPr>
        <w:t>, and believes that its recommended portfolio of rates maintains these options, progresses toward greater rate modernization, and allows the Company to appropriately collect the necessary costs to continue to provide safe, reliable, and affordable electric service</w:t>
      </w:r>
      <w:r w:rsidR="000D07C2">
        <w:rPr>
          <w:sz w:val="24"/>
          <w:szCs w:val="24"/>
        </w:rPr>
        <w:t>.</w:t>
      </w:r>
    </w:p>
    <w:p w14:paraId="7CEE1EC9" w14:textId="77777777" w:rsidR="00171EB2" w:rsidRPr="00171EB2" w:rsidRDefault="00171EB2" w:rsidP="00171EB2">
      <w:pPr>
        <w:widowControl/>
        <w:spacing w:line="360" w:lineRule="auto"/>
        <w:ind w:left="720" w:hanging="720"/>
        <w:jc w:val="both"/>
        <w:rPr>
          <w:sz w:val="24"/>
          <w:szCs w:val="24"/>
        </w:rPr>
      </w:pPr>
    </w:p>
    <w:p w14:paraId="4A22AD22" w14:textId="2EA6759A" w:rsidR="001412EE" w:rsidRDefault="001412EE" w:rsidP="001412EE">
      <w:pPr>
        <w:widowControl/>
        <w:spacing w:line="360" w:lineRule="auto"/>
        <w:jc w:val="both"/>
        <w:rPr>
          <w:b/>
          <w:sz w:val="24"/>
          <w:szCs w:val="24"/>
        </w:rPr>
      </w:pPr>
      <w:r>
        <w:rPr>
          <w:b/>
          <w:sz w:val="24"/>
          <w:szCs w:val="24"/>
        </w:rPr>
        <w:t>Q.</w:t>
      </w:r>
      <w:r>
        <w:rPr>
          <w:b/>
          <w:sz w:val="24"/>
          <w:szCs w:val="24"/>
        </w:rPr>
        <w:tab/>
        <w:t xml:space="preserve">HOW IS THE </w:t>
      </w:r>
      <w:r w:rsidR="00A73E0A">
        <w:rPr>
          <w:b/>
          <w:sz w:val="24"/>
          <w:szCs w:val="24"/>
        </w:rPr>
        <w:t>REMAINDER</w:t>
      </w:r>
      <w:r w:rsidR="00FE77C2">
        <w:rPr>
          <w:b/>
          <w:sz w:val="24"/>
          <w:szCs w:val="24"/>
        </w:rPr>
        <w:t xml:space="preserve"> OF </w:t>
      </w:r>
      <w:r>
        <w:rPr>
          <w:b/>
          <w:sz w:val="24"/>
          <w:szCs w:val="24"/>
        </w:rPr>
        <w:t>YOUR TESTIMONY STRUCTURED?</w:t>
      </w:r>
    </w:p>
    <w:p w14:paraId="2F58CF63" w14:textId="6FEC8B8D"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96053F">
        <w:rPr>
          <w:sz w:val="24"/>
          <w:szCs w:val="24"/>
        </w:rPr>
        <w:t>I</w:t>
      </w:r>
      <w:r>
        <w:rPr>
          <w:sz w:val="24"/>
          <w:szCs w:val="24"/>
        </w:rPr>
        <w:t xml:space="preserve">n Section II </w:t>
      </w:r>
      <w:r w:rsidR="0096053F">
        <w:rPr>
          <w:sz w:val="24"/>
          <w:szCs w:val="24"/>
        </w:rPr>
        <w:t xml:space="preserve">we discuss </w:t>
      </w:r>
      <w:r>
        <w:rPr>
          <w:sz w:val="24"/>
          <w:szCs w:val="24"/>
        </w:rPr>
        <w:t>the appropriateness of the Company’s use of MDS in the cost</w:t>
      </w:r>
      <w:r w:rsidR="00361A60">
        <w:rPr>
          <w:sz w:val="24"/>
          <w:szCs w:val="24"/>
        </w:rPr>
        <w:t>-</w:t>
      </w:r>
      <w:r>
        <w:rPr>
          <w:sz w:val="24"/>
          <w:szCs w:val="24"/>
        </w:rPr>
        <w:t>of</w:t>
      </w:r>
      <w:r w:rsidR="00361A60">
        <w:rPr>
          <w:sz w:val="24"/>
          <w:szCs w:val="24"/>
        </w:rPr>
        <w:t>-</w:t>
      </w:r>
      <w:r>
        <w:rPr>
          <w:sz w:val="24"/>
          <w:szCs w:val="24"/>
        </w:rPr>
        <w:t>service study</w:t>
      </w:r>
      <w:r w:rsidR="009A3102">
        <w:rPr>
          <w:sz w:val="24"/>
          <w:szCs w:val="24"/>
        </w:rPr>
        <w:t xml:space="preserve"> </w:t>
      </w:r>
      <w:r w:rsidR="00171EB2">
        <w:rPr>
          <w:sz w:val="24"/>
          <w:szCs w:val="24"/>
        </w:rPr>
        <w:t>(“COSS”)</w:t>
      </w:r>
      <w:r>
        <w:rPr>
          <w:sz w:val="24"/>
          <w:szCs w:val="24"/>
        </w:rPr>
        <w:t>. We then discuss and respond to criticism regarding the Company’s propose</w:t>
      </w:r>
      <w:r w:rsidR="00C24C2E">
        <w:rPr>
          <w:sz w:val="24"/>
          <w:szCs w:val="24"/>
        </w:rPr>
        <w:t>d</w:t>
      </w:r>
      <w:r>
        <w:rPr>
          <w:sz w:val="24"/>
          <w:szCs w:val="24"/>
        </w:rPr>
        <w:t xml:space="preserve"> changes to the BSC in Section III. In Section IV, we respond to critiques of the Company’s </w:t>
      </w:r>
      <w:r w:rsidR="0096053F">
        <w:rPr>
          <w:sz w:val="24"/>
          <w:szCs w:val="24"/>
        </w:rPr>
        <w:t xml:space="preserve">portfolio of </w:t>
      </w:r>
      <w:r>
        <w:rPr>
          <w:sz w:val="24"/>
          <w:szCs w:val="24"/>
        </w:rPr>
        <w:t xml:space="preserve">residential and commercial rates </w:t>
      </w:r>
      <w:r w:rsidR="00C24C2E">
        <w:rPr>
          <w:sz w:val="24"/>
          <w:szCs w:val="24"/>
        </w:rPr>
        <w:t xml:space="preserve">as well as criticisms of </w:t>
      </w:r>
      <w:r w:rsidR="00520300">
        <w:rPr>
          <w:sz w:val="24"/>
          <w:szCs w:val="24"/>
        </w:rPr>
        <w:t>Georgia Power’s</w:t>
      </w:r>
      <w:r>
        <w:rPr>
          <w:sz w:val="24"/>
          <w:szCs w:val="24"/>
        </w:rPr>
        <w:t xml:space="preserve"> rate design. Section V </w:t>
      </w:r>
      <w:r w:rsidR="0096053F">
        <w:rPr>
          <w:sz w:val="24"/>
          <w:szCs w:val="24"/>
        </w:rPr>
        <w:t>responds to criticism of</w:t>
      </w:r>
      <w:r>
        <w:rPr>
          <w:sz w:val="24"/>
          <w:szCs w:val="24"/>
        </w:rPr>
        <w:t xml:space="preserve"> the Company’s implementation of the RNR </w:t>
      </w:r>
      <w:r w:rsidR="00726FB0">
        <w:rPr>
          <w:sz w:val="24"/>
          <w:szCs w:val="24"/>
        </w:rPr>
        <w:t>t</w:t>
      </w:r>
      <w:r>
        <w:rPr>
          <w:sz w:val="24"/>
          <w:szCs w:val="24"/>
        </w:rPr>
        <w:t xml:space="preserve">ariff </w:t>
      </w:r>
      <w:r w:rsidR="00C24C2E">
        <w:rPr>
          <w:sz w:val="24"/>
          <w:szCs w:val="24"/>
        </w:rPr>
        <w:t xml:space="preserve">and its </w:t>
      </w:r>
      <w:r>
        <w:rPr>
          <w:sz w:val="24"/>
          <w:szCs w:val="24"/>
        </w:rPr>
        <w:t xml:space="preserve">compliance with the </w:t>
      </w:r>
      <w:r w:rsidR="007924FF">
        <w:rPr>
          <w:sz w:val="24"/>
          <w:szCs w:val="24"/>
        </w:rPr>
        <w:t>Cogen</w:t>
      </w:r>
      <w:r>
        <w:rPr>
          <w:sz w:val="24"/>
          <w:szCs w:val="24"/>
        </w:rPr>
        <w:t xml:space="preserve"> Act. Finally, Section VI discusses the Company’s support for and position on supply</w:t>
      </w:r>
      <w:r w:rsidR="0096053F">
        <w:rPr>
          <w:sz w:val="24"/>
          <w:szCs w:val="24"/>
        </w:rPr>
        <w:t>ing</w:t>
      </w:r>
      <w:r>
        <w:rPr>
          <w:sz w:val="24"/>
          <w:szCs w:val="24"/>
        </w:rPr>
        <w:t xml:space="preserve"> customers with greater access to their usage data.</w:t>
      </w:r>
    </w:p>
    <w:p w14:paraId="2A4F841E" w14:textId="21E66D7C" w:rsidR="001412EE" w:rsidRDefault="001412EE" w:rsidP="001412EE">
      <w:pPr>
        <w:widowControl/>
        <w:spacing w:line="360" w:lineRule="auto"/>
        <w:jc w:val="both"/>
        <w:rPr>
          <w:b/>
          <w:sz w:val="24"/>
          <w:szCs w:val="24"/>
        </w:rPr>
      </w:pPr>
    </w:p>
    <w:p w14:paraId="395B042B" w14:textId="77777777" w:rsidR="00171EB2" w:rsidRDefault="00171EB2" w:rsidP="00171EB2">
      <w:pPr>
        <w:widowControl/>
        <w:spacing w:line="360" w:lineRule="auto"/>
        <w:ind w:left="720" w:hanging="720"/>
        <w:jc w:val="center"/>
        <w:rPr>
          <w:b/>
          <w:sz w:val="24"/>
          <w:szCs w:val="24"/>
          <w:u w:val="single"/>
        </w:rPr>
      </w:pPr>
      <w:r w:rsidRPr="004C77B8">
        <w:rPr>
          <w:b/>
          <w:sz w:val="24"/>
          <w:szCs w:val="24"/>
        </w:rPr>
        <w:t>II.</w:t>
      </w:r>
      <w:r>
        <w:rPr>
          <w:b/>
          <w:sz w:val="24"/>
          <w:szCs w:val="24"/>
        </w:rPr>
        <w:t xml:space="preserve">  </w:t>
      </w:r>
      <w:r w:rsidRPr="006B6150">
        <w:rPr>
          <w:b/>
          <w:sz w:val="24"/>
          <w:szCs w:val="24"/>
          <w:u w:val="single"/>
        </w:rPr>
        <w:t xml:space="preserve">MINIMUM DISTRIBUTION </w:t>
      </w:r>
      <w:r>
        <w:rPr>
          <w:b/>
          <w:sz w:val="24"/>
          <w:szCs w:val="24"/>
          <w:u w:val="single"/>
        </w:rPr>
        <w:t>SYSTEM</w:t>
      </w:r>
    </w:p>
    <w:p w14:paraId="73BBB80A" w14:textId="77777777" w:rsidR="00171EB2" w:rsidRDefault="00171EB2" w:rsidP="00171EB2">
      <w:pPr>
        <w:widowControl/>
        <w:spacing w:line="360" w:lineRule="auto"/>
        <w:ind w:left="720" w:hanging="720"/>
        <w:rPr>
          <w:sz w:val="24"/>
          <w:szCs w:val="24"/>
        </w:rPr>
      </w:pPr>
    </w:p>
    <w:p w14:paraId="03905059" w14:textId="77777777" w:rsidR="00171EB2" w:rsidRPr="00393811" w:rsidRDefault="00171EB2" w:rsidP="00171EB2">
      <w:pPr>
        <w:widowControl/>
        <w:spacing w:line="360" w:lineRule="auto"/>
        <w:ind w:left="720" w:hanging="720"/>
        <w:jc w:val="both"/>
        <w:rPr>
          <w:b/>
          <w:sz w:val="24"/>
          <w:szCs w:val="24"/>
        </w:rPr>
      </w:pPr>
      <w:r w:rsidRPr="00393811">
        <w:rPr>
          <w:b/>
          <w:sz w:val="24"/>
          <w:szCs w:val="24"/>
        </w:rPr>
        <w:t>Q.</w:t>
      </w:r>
      <w:r w:rsidRPr="00393811">
        <w:rPr>
          <w:b/>
          <w:sz w:val="24"/>
          <w:szCs w:val="24"/>
        </w:rPr>
        <w:tab/>
        <w:t>WHAT IS MDS?</w:t>
      </w:r>
    </w:p>
    <w:p w14:paraId="52670B6C" w14:textId="7A6EA8F8" w:rsidR="00171EB2" w:rsidRDefault="00171EB2" w:rsidP="00171EB2">
      <w:pPr>
        <w:pStyle w:val="Answer"/>
        <w:numPr>
          <w:ilvl w:val="0"/>
          <w:numId w:val="16"/>
        </w:numPr>
        <w:tabs>
          <w:tab w:val="num" w:pos="720"/>
        </w:tabs>
        <w:spacing w:after="0" w:line="360" w:lineRule="auto"/>
        <w:ind w:left="720"/>
        <w:jc w:val="both"/>
      </w:pPr>
      <w:bookmarkStart w:id="0" w:name="_Hlk11223147"/>
      <w:r>
        <w:t xml:space="preserve">MDS is that portion of the total costs of facilities that make up the primary voltage lines, the line transformers, and the secondary voltage lines that are independent of customers’ load requirements. </w:t>
      </w:r>
      <w:bookmarkEnd w:id="0"/>
      <w:r w:rsidR="004B2BFB">
        <w:t>Primary and secondary v</w:t>
      </w:r>
      <w:r>
        <w:t>oltage lines and transformers are examples of the types of equipment necessary to provide service to customers</w:t>
      </w:r>
      <w:r w:rsidR="00C24C2E">
        <w:t xml:space="preserve"> for which</w:t>
      </w:r>
      <w:r>
        <w:t xml:space="preserve"> the costs are difficult to classify as either demand-related </w:t>
      </w:r>
      <w:r w:rsidR="00C24C2E">
        <w:t xml:space="preserve">or </w:t>
      </w:r>
      <w:r>
        <w:t xml:space="preserve">customer-related. </w:t>
      </w:r>
      <w:r w:rsidR="00DE0539">
        <w:t xml:space="preserve">The </w:t>
      </w:r>
      <w:r>
        <w:t xml:space="preserve">MDS </w:t>
      </w:r>
      <w:r w:rsidR="007F6729">
        <w:t>methodology</w:t>
      </w:r>
      <w:r w:rsidR="00DE0539">
        <w:t xml:space="preserve"> </w:t>
      </w:r>
      <w:r>
        <w:t>serves to separate the costs of these distribution facilities into their respective demand-related cost components and customer-related cost components on the basis of cost causation. As previously stated in Mr. Vogt’s Direct testimony, MDS represents the customer-related “readiness to serve a customer” costs that are independent of how much electricity the customer consumes. MDS</w:t>
      </w:r>
      <w:r w:rsidR="00DE0539">
        <w:t>-identified costs are</w:t>
      </w:r>
      <w:r>
        <w:t xml:space="preserve"> not the portion of distribution facilities that provide capacity needed to meet a customer’s demand requirements, </w:t>
      </w:r>
      <w:r w:rsidR="00DE0539">
        <w:t>and they</w:t>
      </w:r>
      <w:r>
        <w:t xml:space="preserve"> are appropriately classified as demand-related costs. </w:t>
      </w:r>
    </w:p>
    <w:p w14:paraId="562E04B3" w14:textId="77777777" w:rsidR="00171EB2" w:rsidRDefault="00171EB2" w:rsidP="00171EB2">
      <w:pPr>
        <w:pStyle w:val="Answer"/>
        <w:numPr>
          <w:ilvl w:val="0"/>
          <w:numId w:val="0"/>
        </w:numPr>
        <w:spacing w:after="0" w:line="360" w:lineRule="auto"/>
        <w:ind w:left="720"/>
        <w:jc w:val="both"/>
      </w:pPr>
    </w:p>
    <w:p w14:paraId="3E773865" w14:textId="78D424EA" w:rsidR="00171EB2" w:rsidRPr="00C54E35" w:rsidRDefault="00171EB2" w:rsidP="00171EB2">
      <w:pPr>
        <w:widowControl/>
        <w:spacing w:line="360" w:lineRule="auto"/>
        <w:ind w:left="720" w:hanging="720"/>
        <w:jc w:val="both"/>
        <w:rPr>
          <w:b/>
          <w:sz w:val="24"/>
          <w:szCs w:val="24"/>
        </w:rPr>
      </w:pPr>
      <w:r w:rsidRPr="00C54E35">
        <w:rPr>
          <w:b/>
          <w:sz w:val="24"/>
          <w:szCs w:val="24"/>
        </w:rPr>
        <w:t>Q.</w:t>
      </w:r>
      <w:r w:rsidRPr="00C54E35">
        <w:rPr>
          <w:b/>
          <w:sz w:val="24"/>
          <w:szCs w:val="24"/>
        </w:rPr>
        <w:tab/>
        <w:t>WHAT CONCERN</w:t>
      </w:r>
      <w:r w:rsidR="005B2B74">
        <w:rPr>
          <w:b/>
          <w:sz w:val="24"/>
          <w:szCs w:val="24"/>
        </w:rPr>
        <w:t>S</w:t>
      </w:r>
      <w:r w:rsidRPr="00C54E35">
        <w:rPr>
          <w:b/>
          <w:sz w:val="24"/>
          <w:szCs w:val="24"/>
        </w:rPr>
        <w:t xml:space="preserve"> </w:t>
      </w:r>
      <w:r w:rsidR="006B276B">
        <w:rPr>
          <w:b/>
          <w:sz w:val="24"/>
          <w:szCs w:val="24"/>
        </w:rPr>
        <w:t xml:space="preserve">HAVE BEEN RAISED </w:t>
      </w:r>
      <w:r w:rsidRPr="00C54E35">
        <w:rPr>
          <w:b/>
          <w:sz w:val="24"/>
          <w:szCs w:val="24"/>
        </w:rPr>
        <w:t>WITH THE</w:t>
      </w:r>
      <w:r>
        <w:rPr>
          <w:b/>
          <w:sz w:val="24"/>
          <w:szCs w:val="24"/>
        </w:rPr>
        <w:t xml:space="preserve"> COMPANY’S</w:t>
      </w:r>
      <w:r w:rsidRPr="00C54E35">
        <w:rPr>
          <w:b/>
          <w:sz w:val="24"/>
          <w:szCs w:val="24"/>
        </w:rPr>
        <w:t xml:space="preserve"> USE OF THE MDS?</w:t>
      </w:r>
    </w:p>
    <w:p w14:paraId="6815662B" w14:textId="55A5EB96" w:rsidR="005B2B74" w:rsidRDefault="00171EB2" w:rsidP="00171EB2">
      <w:pPr>
        <w:widowControl/>
        <w:spacing w:line="360" w:lineRule="auto"/>
        <w:ind w:left="720" w:hanging="720"/>
        <w:jc w:val="both"/>
        <w:rPr>
          <w:sz w:val="24"/>
          <w:szCs w:val="24"/>
        </w:rPr>
      </w:pPr>
      <w:r>
        <w:rPr>
          <w:sz w:val="24"/>
          <w:szCs w:val="24"/>
        </w:rPr>
        <w:t>A.</w:t>
      </w:r>
      <w:r>
        <w:rPr>
          <w:sz w:val="24"/>
          <w:szCs w:val="24"/>
        </w:rPr>
        <w:tab/>
        <w:t xml:space="preserve">PIA Staff supports the use of MDS in the COSS but believes it should not be used to determine the </w:t>
      </w:r>
      <w:r w:rsidR="005B2B74">
        <w:rPr>
          <w:sz w:val="24"/>
          <w:szCs w:val="24"/>
        </w:rPr>
        <w:t>BSC</w:t>
      </w:r>
      <w:r>
        <w:rPr>
          <w:sz w:val="24"/>
          <w:szCs w:val="24"/>
        </w:rPr>
        <w:t>, favoring</w:t>
      </w:r>
      <w:r w:rsidR="005B2B74">
        <w:rPr>
          <w:sz w:val="24"/>
          <w:szCs w:val="24"/>
        </w:rPr>
        <w:t xml:space="preserve"> instead</w:t>
      </w:r>
      <w:r>
        <w:rPr>
          <w:sz w:val="24"/>
          <w:szCs w:val="24"/>
        </w:rPr>
        <w:t xml:space="preserve"> the Basic Customer Method. PIA Staff claims that the MDS methodology is too theoretical</w:t>
      </w:r>
      <w:r w:rsidR="005B2B74">
        <w:rPr>
          <w:sz w:val="24"/>
          <w:szCs w:val="24"/>
        </w:rPr>
        <w:t xml:space="preserve"> in that it seeks to assign costs to customers for MDS-classified equipment that are not real incremental costs</w:t>
      </w:r>
      <w:r>
        <w:rPr>
          <w:sz w:val="24"/>
          <w:szCs w:val="24"/>
        </w:rPr>
        <w:t xml:space="preserve">. PIA Staff also asserts that basing the MDS methodology on a statistical relationship between the unit cost and size of various secondary distribution system equipment is inconsistent with other </w:t>
      </w:r>
      <w:r w:rsidR="00FA3D90">
        <w:rPr>
          <w:sz w:val="24"/>
          <w:szCs w:val="24"/>
        </w:rPr>
        <w:t>cost</w:t>
      </w:r>
      <w:r w:rsidR="00361A60">
        <w:rPr>
          <w:sz w:val="24"/>
          <w:szCs w:val="24"/>
        </w:rPr>
        <w:t>-</w:t>
      </w:r>
      <w:r w:rsidR="00FA3D90">
        <w:rPr>
          <w:sz w:val="24"/>
          <w:szCs w:val="24"/>
        </w:rPr>
        <w:t>of</w:t>
      </w:r>
      <w:r w:rsidR="00361A60">
        <w:rPr>
          <w:sz w:val="24"/>
          <w:szCs w:val="24"/>
        </w:rPr>
        <w:t>-</w:t>
      </w:r>
      <w:r w:rsidR="00FA3D90">
        <w:rPr>
          <w:sz w:val="24"/>
          <w:szCs w:val="24"/>
        </w:rPr>
        <w:t>service</w:t>
      </w:r>
      <w:r>
        <w:rPr>
          <w:sz w:val="24"/>
          <w:szCs w:val="24"/>
        </w:rPr>
        <w:t xml:space="preserve"> accounting used by the Company. Further, PIA Staff questions industry support for the methodology since it is not explicitly endorsed by the NARUC Electric Utility Cost Allocation Manual or by Bonbright. </w:t>
      </w:r>
    </w:p>
    <w:p w14:paraId="0D2B042C" w14:textId="77777777" w:rsidR="005B2B74" w:rsidRDefault="005B2B74" w:rsidP="00171EB2">
      <w:pPr>
        <w:widowControl/>
        <w:spacing w:line="360" w:lineRule="auto"/>
        <w:ind w:left="720" w:hanging="720"/>
        <w:jc w:val="both"/>
        <w:rPr>
          <w:sz w:val="24"/>
          <w:szCs w:val="24"/>
        </w:rPr>
      </w:pPr>
    </w:p>
    <w:p w14:paraId="0F5B0DC5" w14:textId="77777777" w:rsidR="005B2B74" w:rsidRPr="00C54E35" w:rsidRDefault="005B2B74" w:rsidP="005B2B74">
      <w:pPr>
        <w:widowControl/>
        <w:spacing w:line="360" w:lineRule="auto"/>
        <w:ind w:left="720" w:hanging="720"/>
        <w:jc w:val="both"/>
        <w:rPr>
          <w:b/>
          <w:sz w:val="24"/>
          <w:szCs w:val="24"/>
        </w:rPr>
      </w:pPr>
      <w:r w:rsidRPr="00C54E35">
        <w:rPr>
          <w:b/>
          <w:sz w:val="24"/>
          <w:szCs w:val="24"/>
        </w:rPr>
        <w:t>Q.</w:t>
      </w:r>
      <w:r w:rsidRPr="00C54E35">
        <w:rPr>
          <w:b/>
          <w:sz w:val="24"/>
          <w:szCs w:val="24"/>
        </w:rPr>
        <w:tab/>
      </w:r>
      <w:r>
        <w:rPr>
          <w:b/>
          <w:sz w:val="24"/>
          <w:szCs w:val="24"/>
        </w:rPr>
        <w:t>HOW IS THE BASIC CUSTOMER METHOD DIFFERENT FROM THE MDS METHODOLOGY</w:t>
      </w:r>
      <w:r w:rsidRPr="00C54E35">
        <w:rPr>
          <w:b/>
          <w:sz w:val="24"/>
          <w:szCs w:val="24"/>
        </w:rPr>
        <w:t>?</w:t>
      </w:r>
    </w:p>
    <w:p w14:paraId="7EBB4DB5" w14:textId="05D14349" w:rsidR="00171EB2" w:rsidRDefault="005B2B74" w:rsidP="005B2B74">
      <w:pPr>
        <w:widowControl/>
        <w:spacing w:line="360" w:lineRule="auto"/>
        <w:ind w:left="720" w:hanging="720"/>
        <w:jc w:val="both"/>
        <w:rPr>
          <w:sz w:val="24"/>
          <w:szCs w:val="24"/>
        </w:rPr>
      </w:pPr>
      <w:r>
        <w:rPr>
          <w:sz w:val="24"/>
          <w:szCs w:val="24"/>
        </w:rPr>
        <w:t>A.</w:t>
      </w:r>
      <w:r>
        <w:rPr>
          <w:sz w:val="24"/>
          <w:szCs w:val="24"/>
        </w:rPr>
        <w:tab/>
      </w:r>
      <w:r w:rsidR="00B35385">
        <w:rPr>
          <w:sz w:val="24"/>
          <w:szCs w:val="24"/>
        </w:rPr>
        <w:t xml:space="preserve">While the costs identified using the Basic Customer Method are actual costs that should be assigned to each customer through the </w:t>
      </w:r>
      <w:r>
        <w:rPr>
          <w:sz w:val="24"/>
          <w:szCs w:val="24"/>
        </w:rPr>
        <w:t>BSC</w:t>
      </w:r>
      <w:r w:rsidR="00B35385">
        <w:rPr>
          <w:sz w:val="24"/>
          <w:szCs w:val="24"/>
        </w:rPr>
        <w:t xml:space="preserve">, it only includes a portion of the costs that should be </w:t>
      </w:r>
      <w:r w:rsidR="003946EB">
        <w:rPr>
          <w:sz w:val="24"/>
          <w:szCs w:val="24"/>
        </w:rPr>
        <w:t xml:space="preserve">assigned </w:t>
      </w:r>
      <w:r w:rsidR="006E4175">
        <w:rPr>
          <w:sz w:val="24"/>
          <w:szCs w:val="24"/>
        </w:rPr>
        <w:t xml:space="preserve">as </w:t>
      </w:r>
      <w:r w:rsidR="003946EB">
        <w:rPr>
          <w:sz w:val="24"/>
          <w:szCs w:val="24"/>
        </w:rPr>
        <w:t>customer</w:t>
      </w:r>
      <w:r w:rsidR="006E4175">
        <w:rPr>
          <w:sz w:val="24"/>
          <w:szCs w:val="24"/>
        </w:rPr>
        <w:t>-related</w:t>
      </w:r>
      <w:r w:rsidR="003946EB">
        <w:rPr>
          <w:sz w:val="24"/>
          <w:szCs w:val="24"/>
        </w:rPr>
        <w:t xml:space="preserve">. MDS includes not only the costs identified using the Basic Customer Method but also </w:t>
      </w:r>
      <w:r w:rsidR="00D75BF2">
        <w:rPr>
          <w:sz w:val="24"/>
          <w:szCs w:val="24"/>
        </w:rPr>
        <w:t>equipment</w:t>
      </w:r>
      <w:r w:rsidR="0087592F">
        <w:rPr>
          <w:sz w:val="24"/>
          <w:szCs w:val="24"/>
        </w:rPr>
        <w:t xml:space="preserve"> necessary to provide </w:t>
      </w:r>
      <w:r w:rsidR="006652C3">
        <w:rPr>
          <w:sz w:val="24"/>
          <w:szCs w:val="24"/>
        </w:rPr>
        <w:t xml:space="preserve">safe and reliable </w:t>
      </w:r>
      <w:r w:rsidR="0087592F">
        <w:rPr>
          <w:sz w:val="24"/>
          <w:szCs w:val="24"/>
        </w:rPr>
        <w:t xml:space="preserve">service </w:t>
      </w:r>
      <w:r w:rsidR="00DE0539">
        <w:rPr>
          <w:sz w:val="24"/>
          <w:szCs w:val="24"/>
        </w:rPr>
        <w:t>that is not based on a customer’s demand</w:t>
      </w:r>
      <w:r w:rsidR="006652C3">
        <w:rPr>
          <w:sz w:val="24"/>
          <w:szCs w:val="24"/>
        </w:rPr>
        <w:t xml:space="preserve"> </w:t>
      </w:r>
      <w:r w:rsidR="0087592F">
        <w:rPr>
          <w:sz w:val="24"/>
          <w:szCs w:val="24"/>
        </w:rPr>
        <w:t xml:space="preserve">and should be </w:t>
      </w:r>
      <w:r w:rsidR="006E4175">
        <w:rPr>
          <w:sz w:val="24"/>
          <w:szCs w:val="24"/>
        </w:rPr>
        <w:t xml:space="preserve">allocated </w:t>
      </w:r>
      <w:r w:rsidR="006652C3">
        <w:rPr>
          <w:sz w:val="24"/>
          <w:szCs w:val="24"/>
        </w:rPr>
        <w:t>as a customer-related cost</w:t>
      </w:r>
      <w:r w:rsidR="0087592F">
        <w:rPr>
          <w:sz w:val="24"/>
          <w:szCs w:val="24"/>
        </w:rPr>
        <w:t>.</w:t>
      </w:r>
    </w:p>
    <w:p w14:paraId="2AC2AFAE" w14:textId="77777777" w:rsidR="00171EB2" w:rsidRPr="00AE455C" w:rsidRDefault="00171EB2" w:rsidP="00171EB2">
      <w:pPr>
        <w:widowControl/>
        <w:spacing w:line="360" w:lineRule="auto"/>
        <w:ind w:left="720" w:hanging="720"/>
        <w:jc w:val="both"/>
        <w:rPr>
          <w:b/>
          <w:sz w:val="24"/>
          <w:szCs w:val="24"/>
        </w:rPr>
      </w:pPr>
      <w:r w:rsidRPr="00AE455C">
        <w:rPr>
          <w:b/>
          <w:sz w:val="24"/>
          <w:szCs w:val="24"/>
        </w:rPr>
        <w:t>Q.</w:t>
      </w:r>
      <w:r w:rsidRPr="00AE455C">
        <w:rPr>
          <w:b/>
          <w:sz w:val="24"/>
          <w:szCs w:val="24"/>
        </w:rPr>
        <w:tab/>
      </w:r>
      <w:r>
        <w:rPr>
          <w:b/>
          <w:sz w:val="24"/>
          <w:szCs w:val="24"/>
        </w:rPr>
        <w:t>IS</w:t>
      </w:r>
      <w:r w:rsidRPr="00AE455C">
        <w:rPr>
          <w:b/>
          <w:sz w:val="24"/>
          <w:szCs w:val="24"/>
        </w:rPr>
        <w:t xml:space="preserve"> PIA STAFF </w:t>
      </w:r>
      <w:r>
        <w:rPr>
          <w:b/>
          <w:sz w:val="24"/>
          <w:szCs w:val="24"/>
        </w:rPr>
        <w:t xml:space="preserve">CORRECT </w:t>
      </w:r>
      <w:r w:rsidRPr="00AE455C">
        <w:rPr>
          <w:b/>
          <w:sz w:val="24"/>
          <w:szCs w:val="24"/>
        </w:rPr>
        <w:t>THAT THE NARUC MANUAL EMPHASIZES CLASSIFYING CUSTOMER-RELATED COSTS ON THE BASIS OF HOW WELL THEY VARY DIRECTLY WITH THE NUMBER OF CUSTOMERS ON THE SYSTEM?</w:t>
      </w:r>
    </w:p>
    <w:p w14:paraId="09DA7FC1" w14:textId="77777777" w:rsidR="00171EB2" w:rsidRDefault="00171EB2" w:rsidP="00171EB2">
      <w:pPr>
        <w:widowControl/>
        <w:spacing w:line="360" w:lineRule="auto"/>
        <w:ind w:left="720" w:hanging="720"/>
        <w:jc w:val="both"/>
        <w:rPr>
          <w:sz w:val="24"/>
          <w:szCs w:val="24"/>
        </w:rPr>
      </w:pPr>
      <w:r>
        <w:rPr>
          <w:sz w:val="24"/>
          <w:szCs w:val="24"/>
        </w:rPr>
        <w:t>A.</w:t>
      </w:r>
      <w:r>
        <w:rPr>
          <w:sz w:val="24"/>
          <w:szCs w:val="24"/>
        </w:rPr>
        <w:tab/>
        <w:t>Yes. The NARUC manual not only states that “[t]he customer component of distribution facilities is that portion of costs which varies with the number of customers,” but also provides that as a result of this “the number of poles, conductors, transformers, services, and meters are directly related to the number of customers on the utility’s system.”</w:t>
      </w:r>
      <w:r>
        <w:rPr>
          <w:rStyle w:val="FootnoteReference"/>
          <w:sz w:val="24"/>
          <w:szCs w:val="24"/>
        </w:rPr>
        <w:footnoteReference w:id="1"/>
      </w:r>
      <w:r>
        <w:rPr>
          <w:sz w:val="24"/>
          <w:szCs w:val="24"/>
        </w:rPr>
        <w:t xml:space="preserve"> </w:t>
      </w:r>
    </w:p>
    <w:p w14:paraId="1E63C4EA" w14:textId="77777777" w:rsidR="00171EB2" w:rsidRPr="00821991" w:rsidRDefault="00171EB2" w:rsidP="00171EB2">
      <w:pPr>
        <w:widowControl/>
        <w:spacing w:line="360" w:lineRule="auto"/>
        <w:ind w:left="720" w:hanging="720"/>
        <w:jc w:val="both"/>
        <w:rPr>
          <w:sz w:val="24"/>
          <w:szCs w:val="24"/>
        </w:rPr>
      </w:pPr>
    </w:p>
    <w:p w14:paraId="74860884" w14:textId="6E07E27D" w:rsidR="00171EB2" w:rsidRPr="001A7623" w:rsidRDefault="00171EB2" w:rsidP="00171EB2">
      <w:pPr>
        <w:widowControl/>
        <w:spacing w:line="360" w:lineRule="auto"/>
        <w:ind w:left="720" w:hanging="720"/>
        <w:jc w:val="both"/>
        <w:rPr>
          <w:b/>
          <w:sz w:val="24"/>
          <w:szCs w:val="24"/>
        </w:rPr>
      </w:pPr>
      <w:r w:rsidRPr="001A7623">
        <w:rPr>
          <w:b/>
          <w:sz w:val="24"/>
          <w:szCs w:val="24"/>
        </w:rPr>
        <w:t>Q.</w:t>
      </w:r>
      <w:r w:rsidRPr="001A7623">
        <w:rPr>
          <w:b/>
          <w:sz w:val="24"/>
          <w:szCs w:val="24"/>
        </w:rPr>
        <w:tab/>
      </w:r>
      <w:r w:rsidR="00C24C2E">
        <w:rPr>
          <w:b/>
          <w:sz w:val="24"/>
          <w:szCs w:val="24"/>
        </w:rPr>
        <w:t xml:space="preserve">ARE </w:t>
      </w:r>
      <w:r>
        <w:rPr>
          <w:b/>
          <w:sz w:val="24"/>
          <w:szCs w:val="24"/>
        </w:rPr>
        <w:t>GEORGIA INTERFAITH POWER &amp; LIGHT (“</w:t>
      </w:r>
      <w:r w:rsidRPr="001A7623">
        <w:rPr>
          <w:b/>
          <w:sz w:val="24"/>
          <w:szCs w:val="24"/>
        </w:rPr>
        <w:t>GIPL</w:t>
      </w:r>
      <w:r>
        <w:rPr>
          <w:b/>
          <w:sz w:val="24"/>
          <w:szCs w:val="24"/>
        </w:rPr>
        <w:t>”), SOUTHFACE ENERGY INSTITUTE (“SOUTHFACE”), VOTE SOLAR</w:t>
      </w:r>
      <w:r w:rsidRPr="001A7623">
        <w:rPr>
          <w:b/>
          <w:sz w:val="24"/>
          <w:szCs w:val="24"/>
        </w:rPr>
        <w:t>’S CHARACTERIZATION OF NARUC’S VIEWS ON MDS ACCURATE?</w:t>
      </w:r>
    </w:p>
    <w:p w14:paraId="5501A30B" w14:textId="1DD0F89A" w:rsidR="00171EB2" w:rsidRDefault="00171EB2" w:rsidP="00171EB2">
      <w:pPr>
        <w:widowControl/>
        <w:spacing w:line="360" w:lineRule="auto"/>
        <w:ind w:left="720" w:hanging="720"/>
        <w:jc w:val="both"/>
        <w:rPr>
          <w:sz w:val="24"/>
          <w:szCs w:val="24"/>
        </w:rPr>
      </w:pPr>
      <w:r w:rsidRPr="005E59F2">
        <w:rPr>
          <w:sz w:val="24"/>
          <w:szCs w:val="24"/>
        </w:rPr>
        <w:t>A.</w:t>
      </w:r>
      <w:r w:rsidRPr="005E59F2">
        <w:rPr>
          <w:sz w:val="24"/>
          <w:szCs w:val="24"/>
        </w:rPr>
        <w:tab/>
      </w:r>
      <w:r>
        <w:rPr>
          <w:sz w:val="24"/>
          <w:szCs w:val="24"/>
        </w:rPr>
        <w:t xml:space="preserve">No, their characterization of NARUC’s views </w:t>
      </w:r>
      <w:r w:rsidR="00985454">
        <w:rPr>
          <w:sz w:val="24"/>
          <w:szCs w:val="24"/>
        </w:rPr>
        <w:t>is</w:t>
      </w:r>
      <w:r>
        <w:rPr>
          <w:sz w:val="24"/>
          <w:szCs w:val="24"/>
        </w:rPr>
        <w:t xml:space="preserve"> misleading. They reference a </w:t>
      </w:r>
      <w:r w:rsidRPr="005E59F2">
        <w:rPr>
          <w:sz w:val="24"/>
          <w:szCs w:val="24"/>
        </w:rPr>
        <w:t xml:space="preserve">2000 </w:t>
      </w:r>
      <w:r>
        <w:rPr>
          <w:sz w:val="24"/>
          <w:szCs w:val="24"/>
        </w:rPr>
        <w:t xml:space="preserve">NARUC </w:t>
      </w:r>
      <w:r w:rsidR="00FA3D90">
        <w:rPr>
          <w:sz w:val="24"/>
          <w:szCs w:val="24"/>
        </w:rPr>
        <w:t xml:space="preserve">report </w:t>
      </w:r>
      <w:r>
        <w:rPr>
          <w:sz w:val="24"/>
          <w:szCs w:val="24"/>
        </w:rPr>
        <w:t>to indicate an endorsement</w:t>
      </w:r>
      <w:r w:rsidR="00D826AF">
        <w:rPr>
          <w:sz w:val="24"/>
          <w:szCs w:val="24"/>
        </w:rPr>
        <w:t xml:space="preserve"> </w:t>
      </w:r>
      <w:r w:rsidR="00625A50">
        <w:rPr>
          <w:sz w:val="24"/>
          <w:szCs w:val="24"/>
        </w:rPr>
        <w:t>of</w:t>
      </w:r>
      <w:r w:rsidR="00D826AF">
        <w:rPr>
          <w:sz w:val="24"/>
          <w:szCs w:val="24"/>
        </w:rPr>
        <w:t xml:space="preserve"> the Basic Customer Method </w:t>
      </w:r>
      <w:r w:rsidR="00625A50">
        <w:rPr>
          <w:sz w:val="24"/>
          <w:szCs w:val="24"/>
        </w:rPr>
        <w:t>as the most common method for classifying customer-related costs</w:t>
      </w:r>
      <w:r>
        <w:rPr>
          <w:sz w:val="24"/>
          <w:szCs w:val="24"/>
        </w:rPr>
        <w:t xml:space="preserve">. In fact, the report, </w:t>
      </w:r>
      <w:r w:rsidR="00FA3D90">
        <w:rPr>
          <w:sz w:val="24"/>
          <w:szCs w:val="24"/>
        </w:rPr>
        <w:t xml:space="preserve">which is </w:t>
      </w:r>
      <w:r w:rsidRPr="005E59F2">
        <w:rPr>
          <w:sz w:val="24"/>
          <w:szCs w:val="24"/>
        </w:rPr>
        <w:t>written by the Regulatory Assistance Project</w:t>
      </w:r>
      <w:r w:rsidR="00FA3D90">
        <w:rPr>
          <w:sz w:val="24"/>
          <w:szCs w:val="24"/>
        </w:rPr>
        <w:t xml:space="preserve"> and</w:t>
      </w:r>
      <w:r w:rsidRPr="005E59F2">
        <w:rPr>
          <w:sz w:val="24"/>
          <w:szCs w:val="24"/>
        </w:rPr>
        <w:t xml:space="preserve"> not NARUC</w:t>
      </w:r>
      <w:r>
        <w:rPr>
          <w:sz w:val="24"/>
          <w:szCs w:val="24"/>
        </w:rPr>
        <w:t>,</w:t>
      </w:r>
      <w:r w:rsidRPr="005E59F2">
        <w:rPr>
          <w:sz w:val="24"/>
          <w:szCs w:val="24"/>
        </w:rPr>
        <w:t xml:space="preserve"> explicitly states:</w:t>
      </w:r>
      <w:r>
        <w:rPr>
          <w:sz w:val="24"/>
          <w:szCs w:val="24"/>
        </w:rPr>
        <w:t xml:space="preserve"> </w:t>
      </w:r>
      <w:r w:rsidRPr="005E59F2">
        <w:rPr>
          <w:sz w:val="24"/>
          <w:szCs w:val="24"/>
        </w:rPr>
        <w:t>“The views and opinions expressed herein are strictly those of the authors and may not necessarily agree with, state, or reflect the positions of NARUC…</w:t>
      </w:r>
      <w:r>
        <w:rPr>
          <w:sz w:val="24"/>
          <w:szCs w:val="24"/>
        </w:rPr>
        <w:t>.</w:t>
      </w:r>
      <w:r w:rsidRPr="005E59F2">
        <w:rPr>
          <w:sz w:val="24"/>
          <w:szCs w:val="24"/>
        </w:rPr>
        <w:t>”</w:t>
      </w:r>
      <w:r w:rsidR="000D02E6">
        <w:rPr>
          <w:rStyle w:val="FootnoteReference"/>
          <w:sz w:val="24"/>
          <w:szCs w:val="24"/>
        </w:rPr>
        <w:footnoteReference w:id="2"/>
      </w:r>
      <w:r>
        <w:rPr>
          <w:sz w:val="24"/>
          <w:szCs w:val="24"/>
        </w:rPr>
        <w:t xml:space="preserve"> </w:t>
      </w:r>
      <w:r w:rsidRPr="005E59F2">
        <w:rPr>
          <w:sz w:val="24"/>
          <w:szCs w:val="24"/>
        </w:rPr>
        <w:t>Furthermore, GIPL</w:t>
      </w:r>
      <w:r>
        <w:rPr>
          <w:sz w:val="24"/>
          <w:szCs w:val="24"/>
        </w:rPr>
        <w:t>/Southface/Vote Solar</w:t>
      </w:r>
      <w:r w:rsidRPr="005E59F2">
        <w:rPr>
          <w:sz w:val="24"/>
          <w:szCs w:val="24"/>
        </w:rPr>
        <w:t xml:space="preserve"> </w:t>
      </w:r>
      <w:r>
        <w:rPr>
          <w:sz w:val="24"/>
          <w:szCs w:val="24"/>
        </w:rPr>
        <w:t>state</w:t>
      </w:r>
      <w:r w:rsidRPr="005E59F2">
        <w:rPr>
          <w:sz w:val="24"/>
          <w:szCs w:val="24"/>
        </w:rPr>
        <w:t xml:space="preserve"> that the NARUC manual </w:t>
      </w:r>
      <w:r>
        <w:rPr>
          <w:sz w:val="24"/>
          <w:szCs w:val="24"/>
        </w:rPr>
        <w:t>critiques</w:t>
      </w:r>
      <w:r w:rsidRPr="005E59F2">
        <w:rPr>
          <w:sz w:val="24"/>
          <w:szCs w:val="24"/>
        </w:rPr>
        <w:t xml:space="preserve"> the Zero-Intercept method </w:t>
      </w:r>
      <w:r>
        <w:rPr>
          <w:sz w:val="24"/>
          <w:szCs w:val="24"/>
        </w:rPr>
        <w:t>for</w:t>
      </w:r>
      <w:r w:rsidRPr="005E59F2">
        <w:rPr>
          <w:sz w:val="24"/>
          <w:szCs w:val="24"/>
        </w:rPr>
        <w:t xml:space="preserve"> producing “unreliable results</w:t>
      </w:r>
      <w:r>
        <w:rPr>
          <w:sz w:val="24"/>
          <w:szCs w:val="24"/>
        </w:rPr>
        <w:t>.</w:t>
      </w:r>
      <w:r w:rsidRPr="005E59F2">
        <w:rPr>
          <w:sz w:val="24"/>
          <w:szCs w:val="24"/>
        </w:rPr>
        <w:t xml:space="preserve">” This </w:t>
      </w:r>
      <w:r w:rsidR="005B2B74">
        <w:rPr>
          <w:sz w:val="24"/>
          <w:szCs w:val="24"/>
        </w:rPr>
        <w:t xml:space="preserve">argument </w:t>
      </w:r>
      <w:r w:rsidRPr="005E59F2">
        <w:rPr>
          <w:sz w:val="24"/>
          <w:szCs w:val="24"/>
        </w:rPr>
        <w:t>is</w:t>
      </w:r>
      <w:r w:rsidR="005B2B74">
        <w:rPr>
          <w:sz w:val="24"/>
          <w:szCs w:val="24"/>
        </w:rPr>
        <w:t xml:space="preserve"> also</w:t>
      </w:r>
      <w:r w:rsidRPr="005E59F2">
        <w:rPr>
          <w:sz w:val="24"/>
          <w:szCs w:val="24"/>
        </w:rPr>
        <w:t xml:space="preserve"> misleading</w:t>
      </w:r>
      <w:r>
        <w:rPr>
          <w:sz w:val="24"/>
          <w:szCs w:val="24"/>
        </w:rPr>
        <w:t xml:space="preserve"> and fails to capture the full context of the quote. T</w:t>
      </w:r>
      <w:r w:rsidRPr="005E59F2">
        <w:rPr>
          <w:sz w:val="24"/>
          <w:szCs w:val="24"/>
        </w:rPr>
        <w:t>he referenc</w:t>
      </w:r>
      <w:r w:rsidR="00FA3D90">
        <w:rPr>
          <w:sz w:val="24"/>
          <w:szCs w:val="24"/>
        </w:rPr>
        <w:t>e to</w:t>
      </w:r>
      <w:r>
        <w:rPr>
          <w:sz w:val="24"/>
          <w:szCs w:val="24"/>
        </w:rPr>
        <w:t xml:space="preserve"> unreliable results </w:t>
      </w:r>
      <w:r w:rsidRPr="005E59F2">
        <w:rPr>
          <w:sz w:val="24"/>
          <w:szCs w:val="24"/>
        </w:rPr>
        <w:t xml:space="preserve">specifically refers to </w:t>
      </w:r>
      <w:r w:rsidR="00C24C2E">
        <w:rPr>
          <w:sz w:val="24"/>
          <w:szCs w:val="24"/>
        </w:rPr>
        <w:t xml:space="preserve">instances </w:t>
      </w:r>
      <w:r w:rsidRPr="005E59F2">
        <w:rPr>
          <w:sz w:val="24"/>
          <w:szCs w:val="24"/>
        </w:rPr>
        <w:t xml:space="preserve">when the analysis produces negative Y-intercepts, which does not occur in </w:t>
      </w:r>
      <w:r>
        <w:rPr>
          <w:sz w:val="24"/>
          <w:szCs w:val="24"/>
        </w:rPr>
        <w:t>the Company’s</w:t>
      </w:r>
      <w:r w:rsidRPr="005E59F2">
        <w:rPr>
          <w:sz w:val="24"/>
          <w:szCs w:val="24"/>
        </w:rPr>
        <w:t xml:space="preserve"> COSS. </w:t>
      </w:r>
    </w:p>
    <w:p w14:paraId="3AD8B6D6" w14:textId="77777777" w:rsidR="00171EB2" w:rsidRDefault="00171EB2" w:rsidP="00171EB2">
      <w:pPr>
        <w:widowControl/>
        <w:spacing w:line="360" w:lineRule="auto"/>
        <w:ind w:left="720" w:hanging="720"/>
        <w:jc w:val="both"/>
        <w:rPr>
          <w:b/>
          <w:sz w:val="24"/>
          <w:szCs w:val="24"/>
        </w:rPr>
      </w:pPr>
    </w:p>
    <w:p w14:paraId="26EB016A" w14:textId="60A119BD" w:rsidR="00171EB2" w:rsidRDefault="00171EB2" w:rsidP="00171EB2">
      <w:pPr>
        <w:widowControl/>
        <w:spacing w:line="360" w:lineRule="auto"/>
        <w:ind w:left="720" w:hanging="720"/>
        <w:jc w:val="both"/>
        <w:rPr>
          <w:b/>
          <w:sz w:val="24"/>
          <w:szCs w:val="24"/>
        </w:rPr>
      </w:pPr>
      <w:r>
        <w:rPr>
          <w:b/>
          <w:sz w:val="24"/>
          <w:szCs w:val="24"/>
        </w:rPr>
        <w:t xml:space="preserve">Q. </w:t>
      </w:r>
      <w:r>
        <w:rPr>
          <w:b/>
          <w:sz w:val="24"/>
          <w:szCs w:val="24"/>
        </w:rPr>
        <w:tab/>
        <w:t>DO PIA STAFF</w:t>
      </w:r>
      <w:r w:rsidR="005B2B74">
        <w:rPr>
          <w:b/>
          <w:sz w:val="24"/>
          <w:szCs w:val="24"/>
        </w:rPr>
        <w:t xml:space="preserve"> AND GIPL/SOUTHFACE/VOTE SOLAR</w:t>
      </w:r>
      <w:r>
        <w:rPr>
          <w:b/>
          <w:sz w:val="24"/>
          <w:szCs w:val="24"/>
        </w:rPr>
        <w:t xml:space="preserve"> ACCURATELY CAPTURE BONBRIGHT’S OPINION OF THE MINIMUM DISTRIBUTION SYSTEM?</w:t>
      </w:r>
    </w:p>
    <w:p w14:paraId="20A218E6" w14:textId="361D979A" w:rsidR="00171EB2" w:rsidRPr="00AE455C" w:rsidRDefault="00171EB2" w:rsidP="00171EB2">
      <w:pPr>
        <w:widowControl/>
        <w:spacing w:line="360" w:lineRule="auto"/>
        <w:ind w:left="720" w:hanging="720"/>
        <w:jc w:val="both"/>
        <w:rPr>
          <w:sz w:val="24"/>
          <w:szCs w:val="24"/>
        </w:rPr>
      </w:pPr>
      <w:r>
        <w:rPr>
          <w:sz w:val="24"/>
          <w:szCs w:val="24"/>
        </w:rPr>
        <w:t>A.</w:t>
      </w:r>
      <w:r>
        <w:rPr>
          <w:sz w:val="24"/>
          <w:szCs w:val="24"/>
        </w:rPr>
        <w:tab/>
        <w:t xml:space="preserve">No. PIA Staff </w:t>
      </w:r>
      <w:r w:rsidR="005B2B74">
        <w:rPr>
          <w:sz w:val="24"/>
          <w:szCs w:val="24"/>
        </w:rPr>
        <w:t xml:space="preserve">and GIPL/Southface/Vote Solar </w:t>
      </w:r>
      <w:r w:rsidR="00625A50">
        <w:rPr>
          <w:sz w:val="24"/>
          <w:szCs w:val="24"/>
        </w:rPr>
        <w:t xml:space="preserve">selectively quote </w:t>
      </w:r>
      <w:r>
        <w:rPr>
          <w:sz w:val="24"/>
          <w:szCs w:val="24"/>
        </w:rPr>
        <w:t xml:space="preserve">Bonbright </w:t>
      </w:r>
      <w:r w:rsidR="005B2B74">
        <w:rPr>
          <w:sz w:val="24"/>
          <w:szCs w:val="24"/>
        </w:rPr>
        <w:t>to</w:t>
      </w:r>
      <w:r>
        <w:rPr>
          <w:sz w:val="24"/>
          <w:szCs w:val="24"/>
        </w:rPr>
        <w:t xml:space="preserve"> claim that the inclusion of MDS among customer-related costs is indefensible</w:t>
      </w:r>
      <w:r w:rsidR="00F67375">
        <w:rPr>
          <w:sz w:val="24"/>
          <w:szCs w:val="24"/>
        </w:rPr>
        <w:t>.</w:t>
      </w:r>
      <w:r>
        <w:rPr>
          <w:sz w:val="24"/>
          <w:szCs w:val="24"/>
        </w:rPr>
        <w:t xml:space="preserve"> (</w:t>
      </w:r>
      <w:r w:rsidR="00F67375">
        <w:rPr>
          <w:sz w:val="24"/>
          <w:szCs w:val="24"/>
        </w:rPr>
        <w:t>Tr. 1750</w:t>
      </w:r>
      <w:r w:rsidR="00187826">
        <w:rPr>
          <w:sz w:val="24"/>
          <w:szCs w:val="24"/>
        </w:rPr>
        <w:t>,</w:t>
      </w:r>
      <w:r w:rsidR="00C47EBA">
        <w:rPr>
          <w:sz w:val="24"/>
          <w:szCs w:val="24"/>
        </w:rPr>
        <w:t xml:space="preserve"> </w:t>
      </w:r>
      <w:r w:rsidR="00187826">
        <w:rPr>
          <w:sz w:val="24"/>
          <w:szCs w:val="24"/>
        </w:rPr>
        <w:t>1997</w:t>
      </w:r>
      <w:r w:rsidR="00F67375">
        <w:rPr>
          <w:sz w:val="24"/>
          <w:szCs w:val="24"/>
        </w:rPr>
        <w:t>.</w:t>
      </w:r>
      <w:r>
        <w:rPr>
          <w:sz w:val="24"/>
          <w:szCs w:val="24"/>
        </w:rPr>
        <w:t xml:space="preserve">) As presented, this implies that Bonbright would not support including MDS in </w:t>
      </w:r>
      <w:r w:rsidR="00FA3D90">
        <w:rPr>
          <w:sz w:val="24"/>
          <w:szCs w:val="24"/>
        </w:rPr>
        <w:t>customer</w:t>
      </w:r>
      <w:r>
        <w:rPr>
          <w:sz w:val="24"/>
          <w:szCs w:val="24"/>
        </w:rPr>
        <w:t xml:space="preserve">-related costs. However, the full quote from Bonbright reaches the exact opposite conclusion: “[w]hile for the reason just suggested, the inclusion of the costs of a minimum-sized distribution system among the customer-related costs seems to us clearly indefensible, </w:t>
      </w:r>
      <w:r w:rsidRPr="00C94243">
        <w:rPr>
          <w:b/>
          <w:i/>
          <w:sz w:val="24"/>
          <w:szCs w:val="24"/>
        </w:rPr>
        <w:t>its exclusion from the demand-related costs stands on much firmer ground</w:t>
      </w:r>
      <w:r>
        <w:rPr>
          <w:sz w:val="24"/>
          <w:szCs w:val="24"/>
        </w:rPr>
        <w:t>.”</w:t>
      </w:r>
      <w:r>
        <w:rPr>
          <w:rStyle w:val="FootnoteReference"/>
          <w:sz w:val="24"/>
          <w:szCs w:val="24"/>
        </w:rPr>
        <w:footnoteReference w:id="3"/>
      </w:r>
      <w:r>
        <w:rPr>
          <w:sz w:val="24"/>
          <w:szCs w:val="24"/>
        </w:rPr>
        <w:t xml:space="preserve"> If not allocated as a demand-related cost, MDS must be recovered in customer-related costs since it clearly is not an energy-related cost that varies with the amount of electricity a customer uses. </w:t>
      </w:r>
      <w:r w:rsidR="00741C18">
        <w:rPr>
          <w:sz w:val="24"/>
          <w:szCs w:val="24"/>
        </w:rPr>
        <w:t>Bonbright</w:t>
      </w:r>
      <w:r w:rsidRPr="007C3664">
        <w:rPr>
          <w:sz w:val="24"/>
          <w:szCs w:val="24"/>
        </w:rPr>
        <w:t xml:space="preserve"> further recognizes that utilities must distribute all costs in a fully-distributed cost analysis and that one cannot “plausibly impute” these costs into any other cost category but customer-related.</w:t>
      </w:r>
      <w:r w:rsidR="00F67375">
        <w:rPr>
          <w:rStyle w:val="FootnoteReference"/>
          <w:sz w:val="24"/>
          <w:szCs w:val="24"/>
        </w:rPr>
        <w:footnoteReference w:id="4"/>
      </w:r>
    </w:p>
    <w:p w14:paraId="05A1FDC9" w14:textId="77777777" w:rsidR="00171EB2" w:rsidRDefault="00171EB2" w:rsidP="00171EB2">
      <w:pPr>
        <w:widowControl/>
        <w:spacing w:line="360" w:lineRule="auto"/>
        <w:ind w:left="720" w:hanging="720"/>
        <w:jc w:val="both"/>
        <w:rPr>
          <w:b/>
          <w:sz w:val="24"/>
          <w:szCs w:val="24"/>
        </w:rPr>
      </w:pPr>
    </w:p>
    <w:p w14:paraId="3F2336F6" w14:textId="6B3D5D85" w:rsidR="00171EB2" w:rsidRDefault="00171EB2" w:rsidP="00171EB2">
      <w:pPr>
        <w:widowControl/>
        <w:spacing w:line="360" w:lineRule="auto"/>
        <w:ind w:left="720" w:hanging="720"/>
        <w:jc w:val="both"/>
        <w:rPr>
          <w:b/>
          <w:sz w:val="24"/>
          <w:szCs w:val="24"/>
        </w:rPr>
      </w:pPr>
      <w:r>
        <w:rPr>
          <w:b/>
          <w:sz w:val="24"/>
          <w:szCs w:val="24"/>
        </w:rPr>
        <w:t>Q.</w:t>
      </w:r>
      <w:r>
        <w:rPr>
          <w:b/>
          <w:sz w:val="24"/>
          <w:szCs w:val="24"/>
        </w:rPr>
        <w:tab/>
        <w:t xml:space="preserve">HAS THE COMPANY </w:t>
      </w:r>
      <w:r w:rsidR="009D0716">
        <w:rPr>
          <w:b/>
          <w:sz w:val="24"/>
          <w:szCs w:val="24"/>
        </w:rPr>
        <w:t xml:space="preserve">PREVIOUSLY </w:t>
      </w:r>
      <w:r>
        <w:rPr>
          <w:b/>
          <w:sz w:val="24"/>
          <w:szCs w:val="24"/>
        </w:rPr>
        <w:t>USED THE MDS METHODOLOGY IN ITS COSS?</w:t>
      </w:r>
    </w:p>
    <w:p w14:paraId="45005103" w14:textId="77777777" w:rsidR="00171EB2" w:rsidRPr="00C07719" w:rsidRDefault="00171EB2" w:rsidP="00171EB2">
      <w:pPr>
        <w:pStyle w:val="Answer"/>
        <w:numPr>
          <w:ilvl w:val="0"/>
          <w:numId w:val="16"/>
        </w:numPr>
        <w:tabs>
          <w:tab w:val="clear" w:pos="3870"/>
          <w:tab w:val="num" w:pos="720"/>
        </w:tabs>
        <w:spacing w:after="0" w:line="360" w:lineRule="auto"/>
        <w:ind w:left="720"/>
        <w:jc w:val="both"/>
      </w:pPr>
      <w:r w:rsidRPr="00C07719">
        <w:t xml:space="preserve">Yes. </w:t>
      </w:r>
      <w:r w:rsidRPr="004B6D22">
        <w:t>As previously stated in Mr. Vogt’s Direct testimon</w:t>
      </w:r>
      <w:r>
        <w:t xml:space="preserve">y, </w:t>
      </w:r>
      <w:r w:rsidRPr="00C07719">
        <w:t xml:space="preserve">Georgia Power has filed cost-of-service studies that include an MDS analysis for several decades. </w:t>
      </w:r>
    </w:p>
    <w:p w14:paraId="3830AB2B" w14:textId="77777777" w:rsidR="00171EB2" w:rsidRDefault="00171EB2" w:rsidP="00171EB2">
      <w:pPr>
        <w:widowControl/>
        <w:spacing w:line="360" w:lineRule="auto"/>
        <w:ind w:left="720" w:hanging="720"/>
        <w:jc w:val="both"/>
        <w:rPr>
          <w:b/>
          <w:sz w:val="24"/>
          <w:szCs w:val="24"/>
        </w:rPr>
      </w:pPr>
      <w:r w:rsidDel="006C3324">
        <w:rPr>
          <w:sz w:val="24"/>
          <w:szCs w:val="24"/>
        </w:rPr>
        <w:t xml:space="preserve"> </w:t>
      </w:r>
    </w:p>
    <w:p w14:paraId="3E236A9C" w14:textId="52484EFD" w:rsidR="00171EB2" w:rsidRDefault="00171EB2" w:rsidP="00171EB2">
      <w:pPr>
        <w:pStyle w:val="Question"/>
        <w:numPr>
          <w:ilvl w:val="0"/>
          <w:numId w:val="0"/>
        </w:numPr>
        <w:tabs>
          <w:tab w:val="left" w:pos="720"/>
        </w:tabs>
        <w:ind w:left="749" w:hanging="749"/>
        <w:rPr>
          <w:rFonts w:ascii="Times New Roman" w:hAnsi="Times New Roman" w:cs="Times New Roman"/>
        </w:rPr>
      </w:pPr>
      <w:r w:rsidRPr="00777C4E">
        <w:rPr>
          <w:rFonts w:ascii="Times New Roman" w:hAnsi="Times New Roman" w:cs="Times New Roman"/>
        </w:rPr>
        <w:t>Q.</w:t>
      </w:r>
      <w:r w:rsidRPr="00777C4E">
        <w:rPr>
          <w:rFonts w:ascii="Times New Roman" w:hAnsi="Times New Roman" w:cs="Times New Roman"/>
        </w:rPr>
        <w:tab/>
      </w:r>
      <w:r w:rsidR="00BB09CC">
        <w:rPr>
          <w:rFonts w:ascii="Times New Roman" w:hAnsi="Times New Roman" w:cs="Times New Roman"/>
        </w:rPr>
        <w:t>WHILE the METHODOLOGY HAS</w:t>
      </w:r>
      <w:r>
        <w:rPr>
          <w:rFonts w:ascii="Times New Roman" w:hAnsi="Times New Roman" w:cs="Times New Roman"/>
        </w:rPr>
        <w:t xml:space="preserve"> not </w:t>
      </w:r>
      <w:r w:rsidR="00FA3D90">
        <w:rPr>
          <w:rFonts w:ascii="Times New Roman" w:hAnsi="Times New Roman" w:cs="Times New Roman"/>
        </w:rPr>
        <w:t xml:space="preserve">CHANGED </w:t>
      </w:r>
      <w:r>
        <w:rPr>
          <w:rFonts w:ascii="Times New Roman" w:hAnsi="Times New Roman" w:cs="Times New Roman"/>
        </w:rPr>
        <w:t>since the 2013 coss</w:t>
      </w:r>
      <w:r w:rsidR="00BB09CC">
        <w:rPr>
          <w:rFonts w:ascii="Times New Roman" w:hAnsi="Times New Roman" w:cs="Times New Roman"/>
        </w:rPr>
        <w:t>,</w:t>
      </w:r>
      <w:r w:rsidR="00625A50">
        <w:rPr>
          <w:rFonts w:ascii="Times New Roman" w:hAnsi="Times New Roman" w:cs="Times New Roman"/>
        </w:rPr>
        <w:t xml:space="preserve"> </w:t>
      </w:r>
      <w:r w:rsidR="00C24C2E">
        <w:rPr>
          <w:rFonts w:ascii="Times New Roman" w:hAnsi="Times New Roman" w:cs="Times New Roman"/>
        </w:rPr>
        <w:t xml:space="preserve">WERE </w:t>
      </w:r>
      <w:r>
        <w:rPr>
          <w:rFonts w:ascii="Times New Roman" w:hAnsi="Times New Roman" w:cs="Times New Roman"/>
        </w:rPr>
        <w:t xml:space="preserve">there any changes to </w:t>
      </w:r>
      <w:r w:rsidR="00BB09CC">
        <w:rPr>
          <w:rFonts w:ascii="Times New Roman" w:hAnsi="Times New Roman" w:cs="Times New Roman"/>
        </w:rPr>
        <w:t xml:space="preserve">THE </w:t>
      </w:r>
      <w:r>
        <w:rPr>
          <w:rFonts w:ascii="Times New Roman" w:hAnsi="Times New Roman" w:cs="Times New Roman"/>
        </w:rPr>
        <w:t xml:space="preserve">mds </w:t>
      </w:r>
      <w:r w:rsidR="00BB09CC">
        <w:rPr>
          <w:rFonts w:ascii="Times New Roman" w:hAnsi="Times New Roman" w:cs="Times New Roman"/>
        </w:rPr>
        <w:t xml:space="preserve">ANALYSIS </w:t>
      </w:r>
      <w:r>
        <w:rPr>
          <w:rFonts w:ascii="Times New Roman" w:hAnsi="Times New Roman" w:cs="Times New Roman"/>
        </w:rPr>
        <w:t>since then</w:t>
      </w:r>
      <w:r w:rsidRPr="00777C4E">
        <w:rPr>
          <w:rFonts w:ascii="Times New Roman" w:hAnsi="Times New Roman" w:cs="Times New Roman"/>
        </w:rPr>
        <w:t>?</w:t>
      </w:r>
    </w:p>
    <w:p w14:paraId="6FBDC247" w14:textId="1F640EA9" w:rsidR="00171EB2" w:rsidRDefault="00171EB2" w:rsidP="00171EB2">
      <w:pPr>
        <w:pStyle w:val="Answer"/>
        <w:numPr>
          <w:ilvl w:val="0"/>
          <w:numId w:val="16"/>
        </w:numPr>
        <w:tabs>
          <w:tab w:val="num" w:pos="696"/>
        </w:tabs>
        <w:spacing w:after="0" w:line="360" w:lineRule="auto"/>
        <w:ind w:left="744" w:hanging="744"/>
        <w:jc w:val="both"/>
      </w:pPr>
      <w:r>
        <w:t xml:space="preserve">Yes. The </w:t>
      </w:r>
      <w:r w:rsidR="00FA3D90">
        <w:t>C</w:t>
      </w:r>
      <w:r>
        <w:t xml:space="preserve">ompany </w:t>
      </w:r>
      <w:r w:rsidR="001543F0">
        <w:t xml:space="preserve">continually </w:t>
      </w:r>
      <w:r>
        <w:t>makes refinements to its analyses to provide this Commission with the best information to make decisions. Two of these refinements have been discussed by PIA Staff and Intervenors: (i) classification of protection equipment as exclusively</w:t>
      </w:r>
      <w:r w:rsidRPr="00777C4E">
        <w:t xml:space="preserve"> </w:t>
      </w:r>
      <w:r>
        <w:t>customer-related</w:t>
      </w:r>
      <w:r w:rsidR="00C47EBA">
        <w:t>;</w:t>
      </w:r>
      <w:r>
        <w:t xml:space="preserve"> and (ii) implementation of a specific Zero-Intercept analysis for padmount transformers</w:t>
      </w:r>
      <w:r w:rsidRPr="00777C4E">
        <w:t>.</w:t>
      </w:r>
      <w:r w:rsidR="00FA3D90">
        <w:t xml:space="preserve"> </w:t>
      </w:r>
      <w:r w:rsidR="00AF4386">
        <w:t>While the Company stands by these changes, f</w:t>
      </w:r>
      <w:r w:rsidR="00741C18">
        <w:t>or the Commission’s reference, and t</w:t>
      </w:r>
      <w:r w:rsidR="00FA3D90">
        <w:t>o demonstrate the</w:t>
      </w:r>
      <w:r w:rsidR="00C47EBA">
        <w:t xml:space="preserve"> minimal</w:t>
      </w:r>
      <w:r w:rsidR="00FA3D90">
        <w:t xml:space="preserve"> impact of these two refinements, the Company removed them</w:t>
      </w:r>
      <w:r>
        <w:t xml:space="preserve"> from</w:t>
      </w:r>
      <w:r w:rsidR="00EC7FEE">
        <w:t xml:space="preserve"> the analysis as shown in</w:t>
      </w:r>
      <w:r>
        <w:t xml:space="preserve"> </w:t>
      </w:r>
      <w:r w:rsidR="001543F0">
        <w:t>E</w:t>
      </w:r>
      <w:r>
        <w:t xml:space="preserve">xhibit </w:t>
      </w:r>
      <w:r w:rsidR="00243D28">
        <w:t>LTL/</w:t>
      </w:r>
      <w:r>
        <w:t xml:space="preserve">LJV-1. </w:t>
      </w:r>
    </w:p>
    <w:p w14:paraId="5DD3154D" w14:textId="77777777" w:rsidR="00171EB2" w:rsidRPr="00AC32AE" w:rsidRDefault="00171EB2" w:rsidP="00171EB2">
      <w:pPr>
        <w:pStyle w:val="question0"/>
        <w:spacing w:line="360" w:lineRule="auto"/>
      </w:pPr>
    </w:p>
    <w:p w14:paraId="2310BBF7" w14:textId="77777777" w:rsidR="00DD11FE" w:rsidRPr="00DD11FE" w:rsidRDefault="00171EB2" w:rsidP="00DD11FE">
      <w:pPr>
        <w:pStyle w:val="Question"/>
        <w:numPr>
          <w:ilvl w:val="0"/>
          <w:numId w:val="0"/>
        </w:numPr>
        <w:tabs>
          <w:tab w:val="left" w:pos="720"/>
        </w:tabs>
        <w:ind w:left="749" w:hanging="749"/>
        <w:rPr>
          <w:rFonts w:ascii="Times New Roman" w:hAnsi="Times New Roman" w:cs="Times New Roman"/>
        </w:rPr>
      </w:pPr>
      <w:r w:rsidRPr="00DD11FE">
        <w:rPr>
          <w:rFonts w:ascii="Times New Roman" w:hAnsi="Times New Roman" w:cs="Times New Roman"/>
        </w:rPr>
        <w:t>Q.</w:t>
      </w:r>
      <w:r w:rsidRPr="00DD11FE">
        <w:rPr>
          <w:rFonts w:ascii="Times New Roman" w:hAnsi="Times New Roman" w:cs="Times New Roman"/>
        </w:rPr>
        <w:tab/>
        <w:t>Why did the company make these refinements in the COSS USED IN THIS RATE CASE?</w:t>
      </w:r>
    </w:p>
    <w:p w14:paraId="59009D2C" w14:textId="70090848" w:rsidR="006E4175" w:rsidRPr="00204AB0" w:rsidRDefault="006E4175" w:rsidP="00204AB0">
      <w:pPr>
        <w:pStyle w:val="question0"/>
        <w:spacing w:line="360" w:lineRule="auto"/>
        <w:rPr>
          <w:rFonts w:ascii="Times New Roman" w:hAnsi="Times New Roman"/>
          <w:caps w:val="0"/>
          <w:szCs w:val="24"/>
        </w:rPr>
      </w:pPr>
      <w:r w:rsidRPr="00204AB0">
        <w:rPr>
          <w:rFonts w:ascii="Times New Roman" w:hAnsi="Times New Roman"/>
          <w:caps w:val="0"/>
          <w:szCs w:val="24"/>
        </w:rPr>
        <w:t xml:space="preserve">A. </w:t>
      </w:r>
      <w:r w:rsidR="00204AB0">
        <w:rPr>
          <w:rFonts w:ascii="Times New Roman" w:hAnsi="Times New Roman"/>
          <w:caps w:val="0"/>
          <w:szCs w:val="24"/>
        </w:rPr>
        <w:tab/>
      </w:r>
      <w:r w:rsidRPr="00204AB0">
        <w:rPr>
          <w:rFonts w:ascii="Times New Roman" w:hAnsi="Times New Roman"/>
          <w:caps w:val="0"/>
          <w:szCs w:val="24"/>
        </w:rPr>
        <w:t>The 2019 COSS classified protection equipment as customer-related because there is no demand cost driver for this investment. This equipment is installed on the primary voltage lines and function together to provide distribution system protection under short circuit conditions. The protection equipment functions the same with or without load connected to the energized circuit because it responds to the severe overcurrent situation caused by a fault. Since the operation of this equipment is independent of load, these devices are classified as customer</w:t>
      </w:r>
      <w:r w:rsidR="00AF4386">
        <w:rPr>
          <w:rFonts w:ascii="Times New Roman" w:hAnsi="Times New Roman"/>
          <w:caps w:val="0"/>
          <w:szCs w:val="24"/>
        </w:rPr>
        <w:t>-</w:t>
      </w:r>
      <w:r w:rsidRPr="00204AB0">
        <w:rPr>
          <w:rFonts w:ascii="Times New Roman" w:hAnsi="Times New Roman"/>
          <w:caps w:val="0"/>
          <w:szCs w:val="24"/>
        </w:rPr>
        <w:t>related. This direct classification approach better recognizes the cost</w:t>
      </w:r>
      <w:r w:rsidR="00AF4386">
        <w:rPr>
          <w:rFonts w:ascii="Times New Roman" w:hAnsi="Times New Roman"/>
          <w:caps w:val="0"/>
          <w:szCs w:val="24"/>
        </w:rPr>
        <w:t xml:space="preserve"> </w:t>
      </w:r>
      <w:r w:rsidRPr="00204AB0">
        <w:rPr>
          <w:rFonts w:ascii="Times New Roman" w:hAnsi="Times New Roman"/>
          <w:caps w:val="0"/>
          <w:szCs w:val="24"/>
        </w:rPr>
        <w:t>causation characteristics of the protection equipment compared to separating its cost on the basis of the overhead conductor cost separation, as noted in the NARUC Electric Utility Cost Allocation Manual.</w:t>
      </w:r>
    </w:p>
    <w:p w14:paraId="079A88B0" w14:textId="77777777" w:rsidR="006E4175" w:rsidRDefault="006E4175" w:rsidP="00204AB0">
      <w:pPr>
        <w:pStyle w:val="Answer"/>
        <w:numPr>
          <w:ilvl w:val="0"/>
          <w:numId w:val="0"/>
        </w:numPr>
        <w:tabs>
          <w:tab w:val="left" w:pos="720"/>
        </w:tabs>
        <w:spacing w:after="0" w:line="360" w:lineRule="auto"/>
        <w:ind w:left="720"/>
        <w:jc w:val="both"/>
      </w:pPr>
    </w:p>
    <w:p w14:paraId="4E7A8A66" w14:textId="0012F2CD" w:rsidR="006E4175" w:rsidRDefault="006E4175" w:rsidP="00E622EE">
      <w:pPr>
        <w:pStyle w:val="Answer"/>
        <w:numPr>
          <w:ilvl w:val="0"/>
          <w:numId w:val="0"/>
        </w:numPr>
        <w:tabs>
          <w:tab w:val="left" w:pos="720"/>
        </w:tabs>
        <w:spacing w:after="0" w:line="360" w:lineRule="auto"/>
        <w:ind w:left="720"/>
        <w:jc w:val="both"/>
      </w:pPr>
      <w:r>
        <w:t xml:space="preserve">The 2019 COSS also independently calculated customer-related costs for padmount transformers from overhead transformers since the installed costs of padmount transformers are significantly higher than overhead transformers for the same amount of capacity. The MDS analysis in 2013 understated the customer-related costs for padmount transformers because it used the same Zero-Intercept analysis developed for overhead transformers as a proxy. The Company still believes it is appropriate to separately calculate the </w:t>
      </w:r>
      <w:r w:rsidR="00932978">
        <w:t>zero-intercept</w:t>
      </w:r>
      <w:r>
        <w:t xml:space="preserve"> of padmount transformers and overhead transformers and </w:t>
      </w:r>
      <w:r w:rsidR="00AF4386">
        <w:t xml:space="preserve">to </w:t>
      </w:r>
      <w:r>
        <w:t xml:space="preserve">classify protection equipment as customer-related. For comparison purposes, the Company removed these refinements for the development of Exbibit </w:t>
      </w:r>
      <w:r w:rsidR="006E1551">
        <w:t>LTL/</w:t>
      </w:r>
      <w:r>
        <w:t xml:space="preserve">LJV-1 and deployed the allocations utilized in the 2013 COSS for protection equipment and padmount transformers. </w:t>
      </w:r>
    </w:p>
    <w:p w14:paraId="72F9D87C" w14:textId="77777777" w:rsidR="006E1551" w:rsidRDefault="006E1551" w:rsidP="00171EB2">
      <w:pPr>
        <w:pStyle w:val="Question"/>
        <w:numPr>
          <w:ilvl w:val="0"/>
          <w:numId w:val="0"/>
        </w:numPr>
        <w:tabs>
          <w:tab w:val="left" w:pos="720"/>
        </w:tabs>
        <w:ind w:left="720" w:hanging="720"/>
        <w:rPr>
          <w:b w:val="0"/>
          <w:caps w:val="0"/>
        </w:rPr>
      </w:pPr>
    </w:p>
    <w:p w14:paraId="548C1E48" w14:textId="50F21AC5" w:rsidR="00171EB2" w:rsidRDefault="00171EB2" w:rsidP="00171EB2">
      <w:pPr>
        <w:pStyle w:val="Question"/>
        <w:numPr>
          <w:ilvl w:val="0"/>
          <w:numId w:val="0"/>
        </w:numPr>
        <w:tabs>
          <w:tab w:val="left" w:pos="720"/>
        </w:tabs>
        <w:ind w:left="720" w:hanging="720"/>
      </w:pPr>
      <w:r w:rsidRPr="00D26F60">
        <w:rPr>
          <w:b w:val="0"/>
          <w:caps w:val="0"/>
        </w:rPr>
        <w:t>Q.</w:t>
      </w:r>
      <w:r w:rsidRPr="00D26F60">
        <w:rPr>
          <w:b w:val="0"/>
          <w:caps w:val="0"/>
        </w:rPr>
        <w:tab/>
      </w:r>
      <w:r>
        <w:t>Why do</w:t>
      </w:r>
      <w:r w:rsidR="009646BF">
        <w:t>ES</w:t>
      </w:r>
      <w:r>
        <w:t xml:space="preserve"> Exhibit </w:t>
      </w:r>
      <w:r w:rsidR="00FD61F6">
        <w:t>LTL/</w:t>
      </w:r>
      <w:r>
        <w:t>ljv-1 exclude these modifications for this rebuttal?</w:t>
      </w:r>
    </w:p>
    <w:p w14:paraId="00FDB967" w14:textId="3D23F68A" w:rsidR="00171EB2" w:rsidRDefault="00EC7FEE" w:rsidP="00EC7FEE">
      <w:pPr>
        <w:pStyle w:val="Answer"/>
        <w:numPr>
          <w:ilvl w:val="0"/>
          <w:numId w:val="0"/>
        </w:numPr>
        <w:spacing w:after="0" w:line="360" w:lineRule="auto"/>
        <w:ind w:left="720" w:hanging="720"/>
        <w:jc w:val="both"/>
      </w:pPr>
      <w:r>
        <w:t>A.</w:t>
      </w:r>
      <w:r>
        <w:tab/>
        <w:t xml:space="preserve">The Company has presented Exhibit </w:t>
      </w:r>
      <w:r w:rsidR="00FD61F6">
        <w:t>LTL/</w:t>
      </w:r>
      <w:r>
        <w:t xml:space="preserve">LJV-1 without these two refinements </w:t>
      </w:r>
      <w:r w:rsidR="006E1551">
        <w:t xml:space="preserve">for comparison purposes only </w:t>
      </w:r>
      <w:r>
        <w:t xml:space="preserve">to </w:t>
      </w:r>
      <w:r w:rsidR="009D0716">
        <w:t xml:space="preserve">show </w:t>
      </w:r>
      <w:r w:rsidR="00171EB2">
        <w:t xml:space="preserve">their minimal impact on </w:t>
      </w:r>
      <w:r w:rsidR="00DE0539">
        <w:t>the Company’s BSC request</w:t>
      </w:r>
      <w:r w:rsidR="009D0716">
        <w:t xml:space="preserve"> presented</w:t>
      </w:r>
      <w:r w:rsidR="00171EB2">
        <w:t xml:space="preserve"> in this </w:t>
      </w:r>
      <w:r w:rsidR="00204AB0">
        <w:t>case</w:t>
      </w:r>
      <w:r w:rsidR="00171EB2">
        <w:t>.</w:t>
      </w:r>
    </w:p>
    <w:p w14:paraId="20BE562C" w14:textId="77777777" w:rsidR="00171EB2" w:rsidRDefault="00171EB2" w:rsidP="00171EB2">
      <w:pPr>
        <w:widowControl/>
        <w:spacing w:line="360" w:lineRule="auto"/>
        <w:ind w:left="720" w:hanging="720"/>
        <w:jc w:val="both"/>
        <w:rPr>
          <w:sz w:val="24"/>
          <w:szCs w:val="24"/>
        </w:rPr>
      </w:pPr>
    </w:p>
    <w:p w14:paraId="40FCA0D7" w14:textId="0E3AF1DF" w:rsidR="00171EB2" w:rsidRDefault="00171EB2" w:rsidP="009D0716">
      <w:pPr>
        <w:pStyle w:val="Question"/>
        <w:numPr>
          <w:ilvl w:val="0"/>
          <w:numId w:val="0"/>
        </w:numPr>
        <w:tabs>
          <w:tab w:val="left" w:pos="720"/>
        </w:tabs>
        <w:ind w:left="720" w:hanging="720"/>
      </w:pPr>
      <w:r w:rsidRPr="00D26F60">
        <w:rPr>
          <w:b w:val="0"/>
          <w:caps w:val="0"/>
        </w:rPr>
        <w:t>Q.</w:t>
      </w:r>
      <w:r w:rsidRPr="00D26F60">
        <w:rPr>
          <w:b w:val="0"/>
          <w:caps w:val="0"/>
        </w:rPr>
        <w:tab/>
      </w:r>
      <w:r>
        <w:t xml:space="preserve">What </w:t>
      </w:r>
      <w:r w:rsidR="00BB09CC">
        <w:t xml:space="preserve">IS </w:t>
      </w:r>
      <w:r>
        <w:t xml:space="preserve">the impact of </w:t>
      </w:r>
      <w:r w:rsidR="00BB09CC">
        <w:t>THIS MOdiFICATION</w:t>
      </w:r>
      <w:r>
        <w:t xml:space="preserve"> </w:t>
      </w:r>
      <w:r w:rsidR="00C24C2E">
        <w:t>to the coss</w:t>
      </w:r>
      <w:r>
        <w:t>?</w:t>
      </w:r>
    </w:p>
    <w:p w14:paraId="36B328B1" w14:textId="45ED20AB" w:rsidR="00171EB2" w:rsidRDefault="00171EB2" w:rsidP="00171EB2">
      <w:pPr>
        <w:pStyle w:val="Answer"/>
        <w:numPr>
          <w:ilvl w:val="0"/>
          <w:numId w:val="16"/>
        </w:numPr>
        <w:spacing w:after="0" w:line="360" w:lineRule="auto"/>
        <w:ind w:left="720"/>
        <w:jc w:val="both"/>
      </w:pPr>
      <w:r>
        <w:t xml:space="preserve">The impact of removing the Company’s two refinements that were challenged by PIA Staff and Intervenors is minimal and does not change the Company’s requests. </w:t>
      </w:r>
      <w:r w:rsidR="009D0716">
        <w:t xml:space="preserve">These results, which provide </w:t>
      </w:r>
      <w:r w:rsidR="00204AB0">
        <w:t>a more direct</w:t>
      </w:r>
      <w:r w:rsidR="009D0716">
        <w:t xml:space="preserve"> comparison with previous studies, show customer-related costs for the ‘R’ </w:t>
      </w:r>
      <w:r w:rsidR="00B26EE7">
        <w:t>R</w:t>
      </w:r>
      <w:r w:rsidR="009D0716">
        <w:t xml:space="preserve">ate of </w:t>
      </w:r>
      <w:r w:rsidR="009646BF">
        <w:t>over</w:t>
      </w:r>
      <w:r w:rsidR="009D0716">
        <w:t xml:space="preserve"> $2</w:t>
      </w:r>
      <w:r w:rsidR="009646BF">
        <w:t>1</w:t>
      </w:r>
      <w:r w:rsidR="009D0716">
        <w:t xml:space="preserve"> per customer per month, which is similar to the amount shown in the Company’s original study.</w:t>
      </w:r>
    </w:p>
    <w:p w14:paraId="122CE286" w14:textId="77777777" w:rsidR="00171EB2" w:rsidRPr="00AC32AE" w:rsidRDefault="00171EB2" w:rsidP="00171EB2">
      <w:pPr>
        <w:pStyle w:val="question0"/>
        <w:spacing w:line="360" w:lineRule="auto"/>
      </w:pPr>
    </w:p>
    <w:p w14:paraId="5EFAE873" w14:textId="1295C66F" w:rsidR="00171EB2" w:rsidRPr="00C50807" w:rsidRDefault="00171EB2" w:rsidP="00171EB2">
      <w:pPr>
        <w:widowControl/>
        <w:spacing w:line="360" w:lineRule="auto"/>
        <w:ind w:left="720" w:hanging="720"/>
        <w:jc w:val="both"/>
        <w:rPr>
          <w:b/>
          <w:sz w:val="24"/>
          <w:szCs w:val="24"/>
        </w:rPr>
      </w:pPr>
      <w:r w:rsidRPr="00C50807">
        <w:rPr>
          <w:b/>
          <w:sz w:val="24"/>
          <w:szCs w:val="24"/>
        </w:rPr>
        <w:t>Q.</w:t>
      </w:r>
      <w:r w:rsidRPr="00C50807">
        <w:rPr>
          <w:b/>
          <w:sz w:val="24"/>
          <w:szCs w:val="24"/>
        </w:rPr>
        <w:tab/>
        <w:t>HAVE THE IMPACTS OF MDS ON GEORGIA POWER’S FILED C</w:t>
      </w:r>
      <w:r>
        <w:rPr>
          <w:b/>
          <w:sz w:val="24"/>
          <w:szCs w:val="24"/>
        </w:rPr>
        <w:t>OST</w:t>
      </w:r>
      <w:r w:rsidR="00204AB0">
        <w:rPr>
          <w:b/>
          <w:sz w:val="24"/>
          <w:szCs w:val="24"/>
        </w:rPr>
        <w:t>-</w:t>
      </w:r>
      <w:r>
        <w:rPr>
          <w:b/>
          <w:sz w:val="24"/>
          <w:szCs w:val="24"/>
        </w:rPr>
        <w:t>OF</w:t>
      </w:r>
      <w:r w:rsidR="00204AB0">
        <w:rPr>
          <w:b/>
          <w:sz w:val="24"/>
          <w:szCs w:val="24"/>
        </w:rPr>
        <w:t>-</w:t>
      </w:r>
      <w:r>
        <w:rPr>
          <w:b/>
          <w:sz w:val="24"/>
          <w:szCs w:val="24"/>
        </w:rPr>
        <w:t>SERVICE</w:t>
      </w:r>
      <w:r w:rsidRPr="00C50807">
        <w:rPr>
          <w:b/>
          <w:sz w:val="24"/>
          <w:szCs w:val="24"/>
        </w:rPr>
        <w:t xml:space="preserve"> STUDIES BEEN STABLE OVER TIME?</w:t>
      </w:r>
    </w:p>
    <w:p w14:paraId="5AB45F57" w14:textId="151B6C30" w:rsidR="00171EB2" w:rsidRPr="00AE1903" w:rsidRDefault="00171EB2" w:rsidP="00171EB2">
      <w:pPr>
        <w:widowControl/>
        <w:spacing w:line="360" w:lineRule="auto"/>
        <w:ind w:left="720" w:hanging="720"/>
        <w:jc w:val="both"/>
        <w:rPr>
          <w:b/>
          <w:sz w:val="24"/>
          <w:szCs w:val="24"/>
        </w:rPr>
      </w:pPr>
      <w:r w:rsidRPr="001A7623">
        <w:rPr>
          <w:sz w:val="24"/>
          <w:szCs w:val="24"/>
        </w:rPr>
        <w:t>A.</w:t>
      </w:r>
      <w:r w:rsidRPr="001A7623">
        <w:rPr>
          <w:sz w:val="24"/>
          <w:szCs w:val="24"/>
        </w:rPr>
        <w:tab/>
        <w:t xml:space="preserve">Yes, </w:t>
      </w:r>
      <w:r w:rsidR="009646BF" w:rsidRPr="001A7623">
        <w:rPr>
          <w:sz w:val="24"/>
          <w:szCs w:val="24"/>
        </w:rPr>
        <w:t xml:space="preserve">they have been remarkably stable. </w:t>
      </w:r>
      <w:r w:rsidR="009646BF">
        <w:rPr>
          <w:sz w:val="24"/>
          <w:szCs w:val="24"/>
        </w:rPr>
        <w:t xml:space="preserve">Removing the two refinements from </w:t>
      </w:r>
      <w:r w:rsidR="009646BF" w:rsidRPr="001A7623">
        <w:rPr>
          <w:sz w:val="24"/>
          <w:szCs w:val="24"/>
        </w:rPr>
        <w:t xml:space="preserve">MDS costs </w:t>
      </w:r>
      <w:r w:rsidR="009646BF">
        <w:rPr>
          <w:sz w:val="24"/>
          <w:szCs w:val="24"/>
        </w:rPr>
        <w:t xml:space="preserve">produces </w:t>
      </w:r>
      <w:r w:rsidR="009646BF" w:rsidRPr="001A7623">
        <w:rPr>
          <w:sz w:val="24"/>
          <w:szCs w:val="24"/>
        </w:rPr>
        <w:t xml:space="preserve">a percentage of overall customer-related costs for the </w:t>
      </w:r>
      <w:r w:rsidR="009646BF">
        <w:rPr>
          <w:sz w:val="24"/>
          <w:szCs w:val="24"/>
        </w:rPr>
        <w:t>‘</w:t>
      </w:r>
      <w:r w:rsidR="009646BF" w:rsidRPr="001A7623">
        <w:rPr>
          <w:sz w:val="24"/>
          <w:szCs w:val="24"/>
        </w:rPr>
        <w:t>R</w:t>
      </w:r>
      <w:r w:rsidR="009646BF">
        <w:rPr>
          <w:sz w:val="24"/>
          <w:szCs w:val="24"/>
        </w:rPr>
        <w:t>’</w:t>
      </w:r>
      <w:r w:rsidR="009646BF" w:rsidRPr="001A7623">
        <w:rPr>
          <w:sz w:val="24"/>
          <w:szCs w:val="24"/>
        </w:rPr>
        <w:t xml:space="preserve"> </w:t>
      </w:r>
      <w:r w:rsidR="00B26EE7">
        <w:rPr>
          <w:sz w:val="24"/>
          <w:szCs w:val="24"/>
        </w:rPr>
        <w:t>R</w:t>
      </w:r>
      <w:r w:rsidR="009646BF" w:rsidRPr="001A7623">
        <w:rPr>
          <w:sz w:val="24"/>
          <w:szCs w:val="24"/>
        </w:rPr>
        <w:t xml:space="preserve">ate </w:t>
      </w:r>
      <w:r w:rsidR="009646BF">
        <w:rPr>
          <w:sz w:val="24"/>
          <w:szCs w:val="24"/>
        </w:rPr>
        <w:t xml:space="preserve">that have steadily </w:t>
      </w:r>
      <w:r w:rsidR="009646BF" w:rsidRPr="001A7623">
        <w:rPr>
          <w:sz w:val="24"/>
          <w:szCs w:val="24"/>
        </w:rPr>
        <w:t>range</w:t>
      </w:r>
      <w:r w:rsidR="009646BF">
        <w:rPr>
          <w:sz w:val="24"/>
          <w:szCs w:val="24"/>
        </w:rPr>
        <w:t>d</w:t>
      </w:r>
      <w:r w:rsidR="009646BF" w:rsidRPr="001A7623">
        <w:rPr>
          <w:sz w:val="24"/>
          <w:szCs w:val="24"/>
        </w:rPr>
        <w:t xml:space="preserve"> from 30</w:t>
      </w:r>
      <w:r w:rsidR="009646BF">
        <w:rPr>
          <w:sz w:val="24"/>
          <w:szCs w:val="24"/>
        </w:rPr>
        <w:t xml:space="preserve">% to </w:t>
      </w:r>
      <w:r w:rsidR="009646BF" w:rsidRPr="001A7623">
        <w:rPr>
          <w:sz w:val="24"/>
          <w:szCs w:val="24"/>
        </w:rPr>
        <w:t xml:space="preserve">33% </w:t>
      </w:r>
      <w:r w:rsidR="009646BF">
        <w:rPr>
          <w:sz w:val="24"/>
          <w:szCs w:val="24"/>
        </w:rPr>
        <w:t>over several filed studies</w:t>
      </w:r>
      <w:r w:rsidR="009646BF" w:rsidRPr="001A7623">
        <w:rPr>
          <w:sz w:val="24"/>
          <w:szCs w:val="24"/>
        </w:rPr>
        <w:t>.</w:t>
      </w:r>
    </w:p>
    <w:p w14:paraId="54BA6518" w14:textId="77777777" w:rsidR="00171EB2" w:rsidRDefault="00171EB2" w:rsidP="00171EB2">
      <w:pPr>
        <w:widowControl/>
        <w:spacing w:line="360" w:lineRule="auto"/>
        <w:ind w:left="720" w:hanging="720"/>
        <w:jc w:val="both"/>
        <w:rPr>
          <w:b/>
          <w:sz w:val="24"/>
          <w:szCs w:val="24"/>
        </w:rPr>
      </w:pPr>
    </w:p>
    <w:p w14:paraId="0DC5376B" w14:textId="0B1D3EBD" w:rsidR="00171EB2" w:rsidRPr="007300FE" w:rsidRDefault="00171EB2" w:rsidP="00171EB2">
      <w:pPr>
        <w:widowControl/>
        <w:spacing w:line="360" w:lineRule="auto"/>
        <w:ind w:left="720" w:hanging="720"/>
        <w:jc w:val="both"/>
        <w:rPr>
          <w:b/>
          <w:sz w:val="24"/>
          <w:szCs w:val="24"/>
        </w:rPr>
      </w:pPr>
      <w:r w:rsidRPr="007300FE">
        <w:rPr>
          <w:b/>
          <w:sz w:val="24"/>
          <w:szCs w:val="24"/>
        </w:rPr>
        <w:t>Q.</w:t>
      </w:r>
      <w:r w:rsidRPr="007300FE">
        <w:rPr>
          <w:b/>
          <w:sz w:val="24"/>
          <w:szCs w:val="24"/>
        </w:rPr>
        <w:tab/>
      </w:r>
      <w:r>
        <w:rPr>
          <w:b/>
          <w:sz w:val="24"/>
          <w:szCs w:val="24"/>
        </w:rPr>
        <w:t xml:space="preserve">DO YOU AGREE WITH PIA STAFF’S RECOMMENDATION TO REMOVE THE MDS COSTS AS A BASIS FOR </w:t>
      </w:r>
      <w:r w:rsidR="00AB7ACF">
        <w:rPr>
          <w:b/>
          <w:sz w:val="24"/>
          <w:szCs w:val="24"/>
        </w:rPr>
        <w:t xml:space="preserve">SETTING </w:t>
      </w:r>
      <w:r>
        <w:rPr>
          <w:b/>
          <w:sz w:val="24"/>
          <w:szCs w:val="24"/>
        </w:rPr>
        <w:t xml:space="preserve">THE BASIC SERVICE CHARGE OR STRIP OUT THE MDS EFFECTS ON THE MONTHLY BSC CHARGE IT PROPOSES? </w:t>
      </w:r>
    </w:p>
    <w:p w14:paraId="61EBB459" w14:textId="5A2B6BF1" w:rsidR="00171EB2" w:rsidRDefault="00171EB2" w:rsidP="00171EB2">
      <w:pPr>
        <w:widowControl/>
        <w:spacing w:line="360" w:lineRule="auto"/>
        <w:ind w:left="720" w:hanging="720"/>
        <w:jc w:val="both"/>
        <w:rPr>
          <w:sz w:val="24"/>
          <w:szCs w:val="24"/>
        </w:rPr>
      </w:pPr>
      <w:r>
        <w:rPr>
          <w:sz w:val="24"/>
          <w:szCs w:val="24"/>
        </w:rPr>
        <w:t>A.</w:t>
      </w:r>
      <w:r>
        <w:rPr>
          <w:sz w:val="24"/>
          <w:szCs w:val="24"/>
        </w:rPr>
        <w:tab/>
        <w:t xml:space="preserve">No. The Company has employed the MDS methodology in its COSS to determine the customer-related portion of Georgia Power’s distribution system costs separate from the demand-related costs customers place on the system for electricity in every rate case for over 30 years. The Company’s use of the MDS to classify customer-related costs has been consistent and </w:t>
      </w:r>
      <w:r w:rsidR="00C47EBA">
        <w:rPr>
          <w:sz w:val="24"/>
          <w:szCs w:val="24"/>
        </w:rPr>
        <w:t xml:space="preserve">parity adjustments have been made by the Commission based on this methodology. </w:t>
      </w:r>
    </w:p>
    <w:p w14:paraId="2A72A82E" w14:textId="77777777" w:rsidR="00171EB2" w:rsidRDefault="00171EB2" w:rsidP="00171EB2">
      <w:pPr>
        <w:widowControl/>
        <w:spacing w:line="360" w:lineRule="auto"/>
        <w:ind w:left="720" w:hanging="720"/>
        <w:jc w:val="both"/>
        <w:rPr>
          <w:sz w:val="24"/>
          <w:szCs w:val="24"/>
        </w:rPr>
      </w:pPr>
    </w:p>
    <w:p w14:paraId="0BAAAB21" w14:textId="3011D1D4" w:rsidR="00171EB2" w:rsidRPr="00EB655C" w:rsidRDefault="00171EB2" w:rsidP="00171EB2">
      <w:pPr>
        <w:widowControl/>
        <w:spacing w:line="360" w:lineRule="auto"/>
        <w:ind w:left="720" w:hanging="720"/>
        <w:jc w:val="both"/>
        <w:rPr>
          <w:b/>
          <w:sz w:val="24"/>
          <w:szCs w:val="24"/>
        </w:rPr>
      </w:pPr>
      <w:r w:rsidRPr="00EB655C">
        <w:rPr>
          <w:b/>
          <w:sz w:val="24"/>
          <w:szCs w:val="24"/>
        </w:rPr>
        <w:t>Q.</w:t>
      </w:r>
      <w:r w:rsidRPr="00EB655C">
        <w:rPr>
          <w:b/>
          <w:sz w:val="24"/>
          <w:szCs w:val="24"/>
        </w:rPr>
        <w:tab/>
        <w:t xml:space="preserve">DOES PIA STAFF OR INTERVENOR CRITICISM OF MDS HAVE </w:t>
      </w:r>
      <w:r>
        <w:rPr>
          <w:b/>
          <w:sz w:val="24"/>
          <w:szCs w:val="24"/>
        </w:rPr>
        <w:t>A MATERIAL</w:t>
      </w:r>
      <w:r w:rsidRPr="00EB655C">
        <w:rPr>
          <w:b/>
          <w:sz w:val="24"/>
          <w:szCs w:val="24"/>
        </w:rPr>
        <w:t xml:space="preserve"> IMPACT ON THE PRICING </w:t>
      </w:r>
      <w:r w:rsidR="007F1526">
        <w:rPr>
          <w:b/>
          <w:sz w:val="24"/>
          <w:szCs w:val="24"/>
        </w:rPr>
        <w:t>RECOMMENDATIONS MADE</w:t>
      </w:r>
      <w:r w:rsidRPr="00EB655C">
        <w:rPr>
          <w:b/>
          <w:sz w:val="24"/>
          <w:szCs w:val="24"/>
        </w:rPr>
        <w:t xml:space="preserve"> BY THE COMPANY IN THIS CASE?</w:t>
      </w:r>
    </w:p>
    <w:p w14:paraId="3FB4D285" w14:textId="6D53FB13" w:rsidR="00542475" w:rsidRDefault="00171EB2" w:rsidP="001412EE">
      <w:pPr>
        <w:widowControl/>
        <w:spacing w:line="360" w:lineRule="auto"/>
        <w:jc w:val="both"/>
        <w:rPr>
          <w:sz w:val="24"/>
          <w:szCs w:val="24"/>
        </w:rPr>
      </w:pPr>
      <w:r>
        <w:rPr>
          <w:sz w:val="24"/>
          <w:szCs w:val="24"/>
        </w:rPr>
        <w:t>A.</w:t>
      </w:r>
      <w:r>
        <w:rPr>
          <w:sz w:val="24"/>
          <w:szCs w:val="24"/>
        </w:rPr>
        <w:tab/>
        <w:t xml:space="preserve">No. </w:t>
      </w:r>
    </w:p>
    <w:p w14:paraId="49D4021C" w14:textId="77777777" w:rsidR="00871FBD" w:rsidRDefault="00871FBD" w:rsidP="001412EE">
      <w:pPr>
        <w:widowControl/>
        <w:spacing w:line="360" w:lineRule="auto"/>
        <w:jc w:val="both"/>
        <w:rPr>
          <w:b/>
          <w:sz w:val="24"/>
          <w:szCs w:val="24"/>
        </w:rPr>
      </w:pPr>
    </w:p>
    <w:p w14:paraId="478C43F9" w14:textId="77777777" w:rsidR="001412EE" w:rsidRDefault="001412EE" w:rsidP="001412EE">
      <w:pPr>
        <w:widowControl/>
        <w:spacing w:line="360" w:lineRule="auto"/>
        <w:ind w:left="720" w:hanging="720"/>
        <w:jc w:val="center"/>
        <w:rPr>
          <w:b/>
          <w:sz w:val="24"/>
          <w:szCs w:val="24"/>
          <w:u w:val="single"/>
        </w:rPr>
      </w:pPr>
      <w:r w:rsidRPr="00D808D8">
        <w:rPr>
          <w:b/>
          <w:sz w:val="24"/>
          <w:szCs w:val="24"/>
        </w:rPr>
        <w:t xml:space="preserve">III.  </w:t>
      </w:r>
      <w:r w:rsidRPr="00D808D8">
        <w:rPr>
          <w:b/>
          <w:sz w:val="24"/>
          <w:szCs w:val="24"/>
          <w:u w:val="single"/>
        </w:rPr>
        <w:t>BASIC SERVICE CHARGE</w:t>
      </w:r>
    </w:p>
    <w:p w14:paraId="6B186F76" w14:textId="77777777" w:rsidR="001412EE" w:rsidRDefault="001412EE" w:rsidP="001412EE">
      <w:pPr>
        <w:widowControl/>
        <w:spacing w:line="360" w:lineRule="auto"/>
        <w:ind w:left="720" w:hanging="720"/>
        <w:jc w:val="both"/>
        <w:rPr>
          <w:b/>
          <w:sz w:val="24"/>
          <w:szCs w:val="24"/>
          <w:u w:val="single"/>
        </w:rPr>
      </w:pPr>
    </w:p>
    <w:p w14:paraId="2378F110" w14:textId="148D0205" w:rsidR="001412EE" w:rsidRPr="00FC56F9" w:rsidRDefault="001412EE" w:rsidP="001412EE">
      <w:pPr>
        <w:widowControl/>
        <w:spacing w:line="360" w:lineRule="auto"/>
        <w:ind w:left="720" w:hanging="720"/>
        <w:jc w:val="both"/>
        <w:rPr>
          <w:b/>
          <w:sz w:val="24"/>
          <w:szCs w:val="24"/>
        </w:rPr>
      </w:pPr>
      <w:r w:rsidRPr="00FC56F9">
        <w:rPr>
          <w:b/>
          <w:sz w:val="24"/>
          <w:szCs w:val="24"/>
        </w:rPr>
        <w:t>Q.</w:t>
      </w:r>
      <w:r w:rsidRPr="00FC56F9">
        <w:rPr>
          <w:b/>
          <w:sz w:val="24"/>
          <w:szCs w:val="24"/>
        </w:rPr>
        <w:tab/>
      </w:r>
      <w:r w:rsidR="00006B88">
        <w:rPr>
          <w:b/>
          <w:sz w:val="24"/>
          <w:szCs w:val="24"/>
        </w:rPr>
        <w:t xml:space="preserve">PIA </w:t>
      </w:r>
      <w:r w:rsidRPr="00FC56F9">
        <w:rPr>
          <w:b/>
          <w:sz w:val="24"/>
          <w:szCs w:val="24"/>
        </w:rPr>
        <w:t>STAFF ASSERTS THAT THE COMPANY’S PROPOSED PHASE IN OF THE INCREASE IN BASIC SERVICE CHARGE DOES NOT SATISFY THE GRADUALISM PRINCIPLE OF RATEMAKING. IS THIS TRUE?</w:t>
      </w:r>
    </w:p>
    <w:p w14:paraId="3F0E1295" w14:textId="382578A4" w:rsidR="00344D57" w:rsidRDefault="001412EE" w:rsidP="00344D57">
      <w:pPr>
        <w:widowControl/>
        <w:spacing w:line="360" w:lineRule="auto"/>
        <w:ind w:left="720" w:hanging="720"/>
        <w:jc w:val="both"/>
        <w:rPr>
          <w:sz w:val="24"/>
          <w:szCs w:val="24"/>
        </w:rPr>
      </w:pPr>
      <w:r>
        <w:rPr>
          <w:sz w:val="24"/>
          <w:szCs w:val="24"/>
        </w:rPr>
        <w:t>A.</w:t>
      </w:r>
      <w:r>
        <w:rPr>
          <w:sz w:val="24"/>
          <w:szCs w:val="24"/>
        </w:rPr>
        <w:tab/>
      </w:r>
      <w:r w:rsidR="00344D57">
        <w:rPr>
          <w:sz w:val="24"/>
          <w:szCs w:val="24"/>
        </w:rPr>
        <w:t>No</w:t>
      </w:r>
      <w:r w:rsidR="00344D57" w:rsidRPr="001162DC">
        <w:rPr>
          <w:sz w:val="24"/>
          <w:szCs w:val="24"/>
        </w:rPr>
        <w:t xml:space="preserve">. </w:t>
      </w:r>
      <w:r w:rsidR="00344D57">
        <w:rPr>
          <w:sz w:val="24"/>
          <w:szCs w:val="24"/>
        </w:rPr>
        <w:t>G</w:t>
      </w:r>
      <w:r w:rsidR="00344D57" w:rsidRPr="000B5FD6">
        <w:rPr>
          <w:sz w:val="24"/>
          <w:szCs w:val="24"/>
        </w:rPr>
        <w:t xml:space="preserve">radualism in rate design is </w:t>
      </w:r>
      <w:r w:rsidR="00344D57">
        <w:rPr>
          <w:sz w:val="24"/>
          <w:szCs w:val="24"/>
        </w:rPr>
        <w:t xml:space="preserve">determined by </w:t>
      </w:r>
      <w:r w:rsidR="00344D57" w:rsidRPr="000B5FD6">
        <w:rPr>
          <w:sz w:val="24"/>
          <w:szCs w:val="24"/>
        </w:rPr>
        <w:t>the impact to customer bills from any and all changes to the actual design of the rate</w:t>
      </w:r>
      <w:r w:rsidR="00344D57">
        <w:rPr>
          <w:sz w:val="24"/>
          <w:szCs w:val="24"/>
        </w:rPr>
        <w:t>s</w:t>
      </w:r>
      <w:r w:rsidR="00344D57" w:rsidRPr="000B5FD6">
        <w:rPr>
          <w:sz w:val="24"/>
          <w:szCs w:val="24"/>
        </w:rPr>
        <w:t xml:space="preserve">, parity adjustments, </w:t>
      </w:r>
      <w:r w:rsidR="00344D57">
        <w:rPr>
          <w:sz w:val="24"/>
          <w:szCs w:val="24"/>
        </w:rPr>
        <w:t>and other bill drivers</w:t>
      </w:r>
      <w:r w:rsidR="00344D57" w:rsidRPr="000B5FD6">
        <w:rPr>
          <w:sz w:val="24"/>
          <w:szCs w:val="24"/>
        </w:rPr>
        <w:t xml:space="preserve">. </w:t>
      </w:r>
      <w:r w:rsidR="00344D57">
        <w:rPr>
          <w:sz w:val="24"/>
          <w:szCs w:val="24"/>
        </w:rPr>
        <w:t>Isolating a single component of a rate</w:t>
      </w:r>
      <w:r w:rsidR="00344D57" w:rsidRPr="000B5FD6">
        <w:rPr>
          <w:sz w:val="24"/>
          <w:szCs w:val="24"/>
        </w:rPr>
        <w:t xml:space="preserve"> does not mean that the whole rate design proposal by the </w:t>
      </w:r>
      <w:r w:rsidR="00344D57">
        <w:rPr>
          <w:sz w:val="24"/>
          <w:szCs w:val="24"/>
        </w:rPr>
        <w:t>C</w:t>
      </w:r>
      <w:r w:rsidR="00344D57" w:rsidRPr="000B5FD6">
        <w:rPr>
          <w:sz w:val="24"/>
          <w:szCs w:val="24"/>
        </w:rPr>
        <w:t>ompany is not gradual</w:t>
      </w:r>
      <w:r w:rsidR="00344D57">
        <w:rPr>
          <w:sz w:val="24"/>
          <w:szCs w:val="24"/>
        </w:rPr>
        <w:t xml:space="preserve"> because all components of the rate collectively are used to determine the overall impact to customer bills. While the Company has proposed to make larger adjustments to the BSC component of the rates within the Domestic Group, the overall design of the rate is tailored to collect the same total revenues from all customers by making </w:t>
      </w:r>
      <w:r w:rsidR="007F6729">
        <w:rPr>
          <w:sz w:val="24"/>
          <w:szCs w:val="24"/>
        </w:rPr>
        <w:t>smaller</w:t>
      </w:r>
      <w:r w:rsidR="00344D57">
        <w:rPr>
          <w:sz w:val="24"/>
          <w:szCs w:val="24"/>
        </w:rPr>
        <w:t xml:space="preserve"> adjustments to other components of these rates.</w:t>
      </w:r>
    </w:p>
    <w:p w14:paraId="19EBBFC3" w14:textId="77777777" w:rsidR="00344D57" w:rsidRDefault="00344D57" w:rsidP="00344D57">
      <w:pPr>
        <w:widowControl/>
        <w:spacing w:line="360" w:lineRule="auto"/>
        <w:ind w:left="720" w:hanging="720"/>
        <w:jc w:val="both"/>
        <w:rPr>
          <w:sz w:val="24"/>
          <w:szCs w:val="24"/>
        </w:rPr>
      </w:pPr>
    </w:p>
    <w:p w14:paraId="04286952" w14:textId="4ED8F2C9" w:rsidR="00344D57" w:rsidRDefault="00344D57" w:rsidP="00344D57">
      <w:pPr>
        <w:widowControl/>
        <w:spacing w:line="360" w:lineRule="auto"/>
        <w:ind w:left="720"/>
        <w:jc w:val="both"/>
        <w:rPr>
          <w:sz w:val="24"/>
          <w:szCs w:val="24"/>
        </w:rPr>
      </w:pPr>
      <w:r>
        <w:rPr>
          <w:sz w:val="24"/>
          <w:szCs w:val="24"/>
        </w:rPr>
        <w:t xml:space="preserve">The Company’s COSS revealed that residential customer-related costs totaled $20.87 as shown in Exhibit___LTL-1. The Company’s proposed increase in the BSC from $10 to $14.95 in the first year and then to $17.95 by year three of the Company’s proposed Alternate Rate Plan (“ARP”) is gradual when compared with moving all the way to the $20.87 calculated cost to serve. Further, the step increases are gradual when compared against the test year rate design that was included in the Company MFRs that increased the BSC to $17.95 in 2020. This incremental proposal was tailored to specifically support a gradual transition and to help mitigate </w:t>
      </w:r>
      <w:r w:rsidR="00871FBD">
        <w:rPr>
          <w:sz w:val="24"/>
          <w:szCs w:val="24"/>
        </w:rPr>
        <w:t xml:space="preserve">the </w:t>
      </w:r>
      <w:r>
        <w:rPr>
          <w:sz w:val="24"/>
          <w:szCs w:val="24"/>
        </w:rPr>
        <w:t>impact to customer</w:t>
      </w:r>
      <w:r w:rsidR="007F6729">
        <w:rPr>
          <w:sz w:val="24"/>
          <w:szCs w:val="24"/>
        </w:rPr>
        <w:t xml:space="preserve"> bill</w:t>
      </w:r>
      <w:r>
        <w:rPr>
          <w:sz w:val="24"/>
          <w:szCs w:val="24"/>
        </w:rPr>
        <w:t>s from the rate design change.</w:t>
      </w:r>
    </w:p>
    <w:p w14:paraId="235C91D4" w14:textId="77777777" w:rsidR="001412EE" w:rsidRDefault="001412EE" w:rsidP="001412EE">
      <w:pPr>
        <w:widowControl/>
        <w:spacing w:line="360" w:lineRule="auto"/>
        <w:ind w:left="720" w:hanging="720"/>
        <w:jc w:val="both"/>
        <w:rPr>
          <w:sz w:val="24"/>
          <w:szCs w:val="24"/>
        </w:rPr>
      </w:pPr>
    </w:p>
    <w:p w14:paraId="31533813" w14:textId="111F62A9" w:rsidR="001412EE" w:rsidRPr="00946985" w:rsidRDefault="001412EE" w:rsidP="001412EE">
      <w:pPr>
        <w:widowControl/>
        <w:spacing w:line="360" w:lineRule="auto"/>
        <w:ind w:left="720" w:hanging="720"/>
        <w:jc w:val="both"/>
        <w:rPr>
          <w:b/>
          <w:sz w:val="24"/>
          <w:szCs w:val="24"/>
        </w:rPr>
      </w:pPr>
      <w:bookmarkStart w:id="1" w:name="_Hlk24096486"/>
      <w:r w:rsidRPr="00946985">
        <w:rPr>
          <w:b/>
          <w:sz w:val="24"/>
          <w:szCs w:val="24"/>
        </w:rPr>
        <w:t>Q.</w:t>
      </w:r>
      <w:r w:rsidRPr="00946985">
        <w:rPr>
          <w:b/>
          <w:sz w:val="24"/>
          <w:szCs w:val="24"/>
        </w:rPr>
        <w:tab/>
        <w:t xml:space="preserve">IS THE COMPANY USING THE </w:t>
      </w:r>
      <w:r w:rsidR="00AB7ACF">
        <w:rPr>
          <w:b/>
          <w:sz w:val="24"/>
          <w:szCs w:val="24"/>
        </w:rPr>
        <w:t xml:space="preserve">FINAL RESULT OF THE </w:t>
      </w:r>
      <w:r w:rsidRPr="00946985">
        <w:rPr>
          <w:b/>
          <w:sz w:val="24"/>
          <w:szCs w:val="24"/>
        </w:rPr>
        <w:t xml:space="preserve">CUSTOMER-RELATED </w:t>
      </w:r>
      <w:r w:rsidR="003A59E4">
        <w:rPr>
          <w:b/>
          <w:sz w:val="24"/>
          <w:szCs w:val="24"/>
        </w:rPr>
        <w:t>COST</w:t>
      </w:r>
      <w:r w:rsidR="00AB7ACF">
        <w:rPr>
          <w:b/>
          <w:sz w:val="24"/>
          <w:szCs w:val="24"/>
        </w:rPr>
        <w:t xml:space="preserve"> ANALYSIS</w:t>
      </w:r>
      <w:r w:rsidR="003A59E4" w:rsidRPr="00946985">
        <w:rPr>
          <w:b/>
          <w:sz w:val="24"/>
          <w:szCs w:val="24"/>
        </w:rPr>
        <w:t xml:space="preserve"> </w:t>
      </w:r>
      <w:r w:rsidR="00A80154">
        <w:rPr>
          <w:b/>
          <w:sz w:val="24"/>
          <w:szCs w:val="24"/>
        </w:rPr>
        <w:t xml:space="preserve">THAT INCLUDES MDS </w:t>
      </w:r>
      <w:r w:rsidRPr="00946985">
        <w:rPr>
          <w:b/>
          <w:sz w:val="24"/>
          <w:szCs w:val="24"/>
        </w:rPr>
        <w:t>TO SET THE BSC</w:t>
      </w:r>
      <w:r w:rsidR="00A57DFC">
        <w:rPr>
          <w:b/>
          <w:sz w:val="24"/>
          <w:szCs w:val="24"/>
        </w:rPr>
        <w:t xml:space="preserve"> FOR RATES WITHIN THE DOMESTIC GROUP</w:t>
      </w:r>
      <w:r w:rsidRPr="00946985">
        <w:rPr>
          <w:b/>
          <w:sz w:val="24"/>
          <w:szCs w:val="24"/>
        </w:rPr>
        <w:t>?</w:t>
      </w:r>
    </w:p>
    <w:p w14:paraId="609B045F" w14:textId="08061E13"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295A73" w:rsidRPr="001D6FD0">
        <w:rPr>
          <w:sz w:val="24"/>
          <w:szCs w:val="24"/>
        </w:rPr>
        <w:t xml:space="preserve">No. The MDS study is used to inform the BSC rather than to set the </w:t>
      </w:r>
      <w:r w:rsidR="00A80154">
        <w:rPr>
          <w:sz w:val="24"/>
          <w:szCs w:val="24"/>
        </w:rPr>
        <w:t xml:space="preserve">actual </w:t>
      </w:r>
      <w:r w:rsidR="00295A73" w:rsidRPr="001D6FD0">
        <w:rPr>
          <w:sz w:val="24"/>
          <w:szCs w:val="24"/>
        </w:rPr>
        <w:t xml:space="preserve">BSC </w:t>
      </w:r>
      <w:r w:rsidR="00A80154">
        <w:rPr>
          <w:sz w:val="24"/>
          <w:szCs w:val="24"/>
        </w:rPr>
        <w:t xml:space="preserve">amount </w:t>
      </w:r>
      <w:r w:rsidR="00295A73" w:rsidRPr="001D6FD0">
        <w:rPr>
          <w:sz w:val="24"/>
          <w:szCs w:val="24"/>
        </w:rPr>
        <w:t xml:space="preserve">for rates within the Domestic Group. The distribution costs classified </w:t>
      </w:r>
      <w:r w:rsidR="00DE0539">
        <w:rPr>
          <w:sz w:val="24"/>
          <w:szCs w:val="24"/>
        </w:rPr>
        <w:t>by</w:t>
      </w:r>
      <w:r w:rsidR="00DE0539" w:rsidRPr="001D6FD0">
        <w:rPr>
          <w:sz w:val="24"/>
          <w:szCs w:val="24"/>
        </w:rPr>
        <w:t xml:space="preserve"> </w:t>
      </w:r>
      <w:r w:rsidR="00295A73" w:rsidRPr="001D6FD0">
        <w:rPr>
          <w:sz w:val="24"/>
          <w:szCs w:val="24"/>
        </w:rPr>
        <w:t xml:space="preserve">MDS in the COSS are necessary to appropriately allocate the costs between the customer-related or demand-related functions. These are legitimate costs to serve customers and are correctly recognized as customer-related costs, which then informs rate design to properly recover </w:t>
      </w:r>
      <w:r w:rsidR="00372E9E">
        <w:rPr>
          <w:sz w:val="24"/>
          <w:szCs w:val="24"/>
        </w:rPr>
        <w:t xml:space="preserve">such </w:t>
      </w:r>
      <w:r w:rsidR="00295A73" w:rsidRPr="001D6FD0">
        <w:rPr>
          <w:sz w:val="24"/>
          <w:szCs w:val="24"/>
        </w:rPr>
        <w:t>costs through appropriately designed charges.</w:t>
      </w:r>
    </w:p>
    <w:bookmarkEnd w:id="1"/>
    <w:p w14:paraId="360397B0" w14:textId="77777777" w:rsidR="001412EE" w:rsidRPr="00FC56F9" w:rsidRDefault="001412EE" w:rsidP="001412EE">
      <w:pPr>
        <w:widowControl/>
        <w:spacing w:line="360" w:lineRule="auto"/>
        <w:ind w:left="720" w:hanging="720"/>
        <w:jc w:val="both"/>
        <w:rPr>
          <w:sz w:val="24"/>
          <w:szCs w:val="24"/>
        </w:rPr>
      </w:pPr>
    </w:p>
    <w:p w14:paraId="42DF1959" w14:textId="63A86D12" w:rsidR="001412EE" w:rsidRDefault="001412EE" w:rsidP="001412EE">
      <w:pPr>
        <w:widowControl/>
        <w:spacing w:line="360" w:lineRule="auto"/>
        <w:ind w:left="720" w:hanging="720"/>
        <w:jc w:val="both"/>
        <w:rPr>
          <w:b/>
          <w:sz w:val="24"/>
          <w:szCs w:val="24"/>
        </w:rPr>
      </w:pPr>
      <w:r w:rsidRPr="00F07A65">
        <w:rPr>
          <w:b/>
          <w:sz w:val="24"/>
          <w:szCs w:val="24"/>
        </w:rPr>
        <w:t>Q.</w:t>
      </w:r>
      <w:r w:rsidRPr="00F07A65">
        <w:rPr>
          <w:b/>
          <w:sz w:val="24"/>
          <w:szCs w:val="24"/>
        </w:rPr>
        <w:tab/>
        <w:t xml:space="preserve">DOES PIA STAFF DISAGREE WITH THE COMPANY’S NEED TO COLLECT </w:t>
      </w:r>
      <w:r w:rsidR="00875C6E">
        <w:rPr>
          <w:b/>
          <w:sz w:val="24"/>
          <w:szCs w:val="24"/>
        </w:rPr>
        <w:t>ITS</w:t>
      </w:r>
      <w:r w:rsidRPr="00F07A65">
        <w:rPr>
          <w:b/>
          <w:sz w:val="24"/>
          <w:szCs w:val="24"/>
        </w:rPr>
        <w:t xml:space="preserve"> COSTS FROM CUSTOMERS?</w:t>
      </w:r>
    </w:p>
    <w:p w14:paraId="02CFCEA5" w14:textId="4F6D3B42" w:rsidR="00372E9E" w:rsidRDefault="001412EE" w:rsidP="00E17E9B">
      <w:pPr>
        <w:widowControl/>
        <w:spacing w:line="360" w:lineRule="auto"/>
        <w:ind w:left="720" w:hanging="720"/>
        <w:jc w:val="both"/>
        <w:rPr>
          <w:sz w:val="24"/>
          <w:szCs w:val="24"/>
        </w:rPr>
      </w:pPr>
      <w:r>
        <w:rPr>
          <w:sz w:val="24"/>
          <w:szCs w:val="24"/>
        </w:rPr>
        <w:t>A.</w:t>
      </w:r>
      <w:r>
        <w:rPr>
          <w:sz w:val="24"/>
          <w:szCs w:val="24"/>
        </w:rPr>
        <w:tab/>
        <w:t xml:space="preserve">No. PIA Staff does not dispute the Company’s need to collect its revenue requirement from customers or the amount to </w:t>
      </w:r>
      <w:r w:rsidR="00E17E9B">
        <w:rPr>
          <w:sz w:val="24"/>
          <w:szCs w:val="24"/>
        </w:rPr>
        <w:t xml:space="preserve">be </w:t>
      </w:r>
      <w:r>
        <w:rPr>
          <w:sz w:val="24"/>
          <w:szCs w:val="24"/>
        </w:rPr>
        <w:t>collect</w:t>
      </w:r>
      <w:r w:rsidR="00E17E9B">
        <w:rPr>
          <w:sz w:val="24"/>
          <w:szCs w:val="24"/>
        </w:rPr>
        <w:t>ed</w:t>
      </w:r>
      <w:r>
        <w:rPr>
          <w:sz w:val="24"/>
          <w:szCs w:val="24"/>
        </w:rPr>
        <w:t xml:space="preserve">. Rather, PIA Staff simply disagrees with classifying certain distribution costs as customer-related and including </w:t>
      </w:r>
      <w:r w:rsidR="00875C6E">
        <w:rPr>
          <w:sz w:val="24"/>
          <w:szCs w:val="24"/>
        </w:rPr>
        <w:t xml:space="preserve">them </w:t>
      </w:r>
      <w:r>
        <w:rPr>
          <w:sz w:val="24"/>
          <w:szCs w:val="24"/>
        </w:rPr>
        <w:t xml:space="preserve">in the BSC. </w:t>
      </w:r>
    </w:p>
    <w:p w14:paraId="1C2942C7" w14:textId="631C4F53" w:rsidR="00372E9E" w:rsidRDefault="00372E9E" w:rsidP="00E17E9B">
      <w:pPr>
        <w:widowControl/>
        <w:spacing w:line="360" w:lineRule="auto"/>
        <w:ind w:left="720" w:hanging="720"/>
        <w:jc w:val="both"/>
        <w:rPr>
          <w:sz w:val="24"/>
          <w:szCs w:val="24"/>
        </w:rPr>
      </w:pPr>
    </w:p>
    <w:p w14:paraId="501C2035" w14:textId="0B235885" w:rsidR="00372E9E" w:rsidRPr="007F1526" w:rsidRDefault="00372E9E" w:rsidP="00E17E9B">
      <w:pPr>
        <w:widowControl/>
        <w:spacing w:line="360" w:lineRule="auto"/>
        <w:ind w:left="720" w:hanging="720"/>
        <w:jc w:val="both"/>
        <w:rPr>
          <w:b/>
          <w:sz w:val="24"/>
          <w:szCs w:val="24"/>
        </w:rPr>
      </w:pPr>
      <w:r w:rsidRPr="007F1526">
        <w:rPr>
          <w:b/>
          <w:sz w:val="24"/>
          <w:szCs w:val="24"/>
        </w:rPr>
        <w:t>Q.</w:t>
      </w:r>
      <w:r w:rsidRPr="007F1526">
        <w:rPr>
          <w:b/>
          <w:sz w:val="24"/>
          <w:szCs w:val="24"/>
        </w:rPr>
        <w:tab/>
        <w:t>WHAT IS THE IMPACT OF NOT PROPERLY INCLUDING CUSTOMER-RELATED COSTS IN THE BSC?</w:t>
      </w:r>
    </w:p>
    <w:p w14:paraId="7909CA40" w14:textId="4497E6C4" w:rsidR="009A5FF7" w:rsidRDefault="00372E9E" w:rsidP="006B1170">
      <w:pPr>
        <w:widowControl/>
        <w:spacing w:line="360" w:lineRule="auto"/>
        <w:ind w:left="720" w:hanging="720"/>
        <w:jc w:val="both"/>
        <w:rPr>
          <w:sz w:val="24"/>
          <w:szCs w:val="24"/>
        </w:rPr>
      </w:pPr>
      <w:r>
        <w:rPr>
          <w:sz w:val="24"/>
          <w:szCs w:val="24"/>
        </w:rPr>
        <w:t>A.</w:t>
      </w:r>
      <w:r>
        <w:rPr>
          <w:sz w:val="24"/>
          <w:szCs w:val="24"/>
        </w:rPr>
        <w:tab/>
        <w:t xml:space="preserve">If customer-related costs are not recovered through the BSC, these costs must be recovered </w:t>
      </w:r>
      <w:r w:rsidR="006B1170">
        <w:rPr>
          <w:sz w:val="24"/>
          <w:szCs w:val="24"/>
        </w:rPr>
        <w:t>elsewhere</w:t>
      </w:r>
      <w:r w:rsidR="00704652">
        <w:rPr>
          <w:sz w:val="24"/>
          <w:szCs w:val="24"/>
        </w:rPr>
        <w:t>,</w:t>
      </w:r>
      <w:r w:rsidR="006B1170">
        <w:rPr>
          <w:sz w:val="24"/>
          <w:szCs w:val="24"/>
        </w:rPr>
        <w:t xml:space="preserve"> which leads to cost shifting</w:t>
      </w:r>
      <w:r>
        <w:rPr>
          <w:sz w:val="24"/>
          <w:szCs w:val="24"/>
        </w:rPr>
        <w:t xml:space="preserve">. </w:t>
      </w:r>
      <w:r w:rsidR="00200A3C">
        <w:rPr>
          <w:sz w:val="24"/>
          <w:szCs w:val="24"/>
        </w:rPr>
        <w:t xml:space="preserve">PIA </w:t>
      </w:r>
      <w:r w:rsidR="001412EE">
        <w:rPr>
          <w:sz w:val="24"/>
          <w:szCs w:val="24"/>
        </w:rPr>
        <w:t>Staff acknowledges that lowering the BSC “would likely result in higher energy charges to align rates to recover the revenue requirement, all else being equal.” (</w:t>
      </w:r>
      <w:r w:rsidR="00C47EBA">
        <w:rPr>
          <w:sz w:val="24"/>
          <w:szCs w:val="24"/>
        </w:rPr>
        <w:t>Tr. 1674-75</w:t>
      </w:r>
      <w:r w:rsidR="001412EE">
        <w:rPr>
          <w:sz w:val="24"/>
          <w:szCs w:val="24"/>
        </w:rPr>
        <w:t>.)</w:t>
      </w:r>
      <w:r w:rsidR="00E17E9B">
        <w:rPr>
          <w:sz w:val="24"/>
          <w:szCs w:val="24"/>
        </w:rPr>
        <w:t xml:space="preserve"> </w:t>
      </w:r>
      <w:r w:rsidR="00200A3C">
        <w:rPr>
          <w:sz w:val="24"/>
          <w:szCs w:val="24"/>
        </w:rPr>
        <w:t xml:space="preserve">PIA </w:t>
      </w:r>
      <w:r w:rsidR="001412EE">
        <w:rPr>
          <w:sz w:val="24"/>
          <w:szCs w:val="24"/>
        </w:rPr>
        <w:t xml:space="preserve">Staff prefers that the increase in the cost to serve customers be collected through the variable, energy portion of the rate. </w:t>
      </w:r>
    </w:p>
    <w:p w14:paraId="315E391E" w14:textId="3B35F8DE" w:rsidR="009A5FF7" w:rsidRDefault="009A5FF7" w:rsidP="006B1170">
      <w:pPr>
        <w:widowControl/>
        <w:spacing w:line="360" w:lineRule="auto"/>
        <w:ind w:left="720" w:hanging="720"/>
        <w:jc w:val="both"/>
        <w:rPr>
          <w:sz w:val="24"/>
          <w:szCs w:val="24"/>
        </w:rPr>
      </w:pPr>
      <w:r>
        <w:rPr>
          <w:sz w:val="24"/>
          <w:szCs w:val="24"/>
        </w:rPr>
        <w:tab/>
      </w:r>
    </w:p>
    <w:p w14:paraId="29F837DB" w14:textId="6C3C6B43" w:rsidR="001412EE" w:rsidRDefault="00D4087A" w:rsidP="007F1526">
      <w:pPr>
        <w:widowControl/>
        <w:spacing w:line="360" w:lineRule="auto"/>
        <w:ind w:left="720" w:hanging="720"/>
        <w:jc w:val="both"/>
        <w:rPr>
          <w:sz w:val="24"/>
          <w:szCs w:val="24"/>
        </w:rPr>
      </w:pPr>
      <w:r>
        <w:rPr>
          <w:sz w:val="24"/>
          <w:szCs w:val="24"/>
        </w:rPr>
        <w:tab/>
      </w:r>
      <w:r w:rsidR="001412EE">
        <w:rPr>
          <w:sz w:val="24"/>
          <w:szCs w:val="24"/>
        </w:rPr>
        <w:t>However, this fails to properly align fixed costs with the fixed portion of the rate</w:t>
      </w:r>
      <w:r w:rsidR="00E17E9B">
        <w:rPr>
          <w:sz w:val="24"/>
          <w:szCs w:val="24"/>
        </w:rPr>
        <w:t>,</w:t>
      </w:r>
      <w:r w:rsidR="001412EE">
        <w:rPr>
          <w:sz w:val="24"/>
          <w:szCs w:val="24"/>
        </w:rPr>
        <w:t xml:space="preserve"> such that some customers will be paying a greater share of the fixed costs caused by other customers who reduce their energy usage through energy conservation efforts or through deployment of distributed generation. While the Company supports energy efficiency and distributed generation, this cost shifting has a disparate impact on </w:t>
      </w:r>
      <w:r w:rsidR="00A80154">
        <w:rPr>
          <w:sz w:val="24"/>
          <w:szCs w:val="24"/>
        </w:rPr>
        <w:t xml:space="preserve">higher usage, </w:t>
      </w:r>
      <w:r w:rsidR="001412EE">
        <w:rPr>
          <w:sz w:val="24"/>
          <w:szCs w:val="24"/>
        </w:rPr>
        <w:t>low</w:t>
      </w:r>
      <w:r w:rsidR="001543F0">
        <w:rPr>
          <w:sz w:val="24"/>
          <w:szCs w:val="24"/>
        </w:rPr>
        <w:t>-</w:t>
      </w:r>
      <w:r w:rsidR="001412EE">
        <w:rPr>
          <w:sz w:val="24"/>
          <w:szCs w:val="24"/>
        </w:rPr>
        <w:t>income</w:t>
      </w:r>
      <w:r w:rsidR="00875C6E">
        <w:rPr>
          <w:sz w:val="24"/>
          <w:szCs w:val="24"/>
        </w:rPr>
        <w:t xml:space="preserve">, </w:t>
      </w:r>
      <w:r w:rsidR="001412EE">
        <w:rPr>
          <w:sz w:val="24"/>
          <w:szCs w:val="24"/>
        </w:rPr>
        <w:t xml:space="preserve">customers who have fewer resources to invest in energy efficiency and distributed generation. Thus, not only does maintaining the status quo support </w:t>
      </w:r>
      <w:r w:rsidR="00200A3C">
        <w:rPr>
          <w:sz w:val="24"/>
          <w:szCs w:val="24"/>
        </w:rPr>
        <w:t xml:space="preserve">existing </w:t>
      </w:r>
      <w:r w:rsidR="001412EE">
        <w:rPr>
          <w:sz w:val="24"/>
          <w:szCs w:val="24"/>
        </w:rPr>
        <w:t xml:space="preserve">cross subsidies, it </w:t>
      </w:r>
      <w:r w:rsidR="00200A3C">
        <w:rPr>
          <w:sz w:val="24"/>
          <w:szCs w:val="24"/>
        </w:rPr>
        <w:t>also can be</w:t>
      </w:r>
      <w:r w:rsidR="001412EE">
        <w:rPr>
          <w:sz w:val="24"/>
          <w:szCs w:val="24"/>
        </w:rPr>
        <w:t xml:space="preserve"> detrimental to </w:t>
      </w:r>
      <w:r w:rsidR="00AB7ACF">
        <w:rPr>
          <w:sz w:val="24"/>
          <w:szCs w:val="24"/>
        </w:rPr>
        <w:t xml:space="preserve">a significant portion of the </w:t>
      </w:r>
      <w:r w:rsidR="001412EE">
        <w:rPr>
          <w:sz w:val="24"/>
          <w:szCs w:val="24"/>
        </w:rPr>
        <w:t xml:space="preserve">Company’s low-income customers. </w:t>
      </w:r>
    </w:p>
    <w:p w14:paraId="3283A7AC" w14:textId="77777777" w:rsidR="001412EE" w:rsidRDefault="001412EE" w:rsidP="001412EE">
      <w:pPr>
        <w:widowControl/>
        <w:spacing w:line="360" w:lineRule="auto"/>
        <w:ind w:left="720" w:hanging="720"/>
        <w:jc w:val="both"/>
        <w:rPr>
          <w:sz w:val="24"/>
          <w:szCs w:val="24"/>
        </w:rPr>
      </w:pPr>
    </w:p>
    <w:p w14:paraId="7FC44686" w14:textId="0AE4FAEB" w:rsidR="001412EE" w:rsidRPr="003674C5" w:rsidRDefault="001412EE" w:rsidP="001412EE">
      <w:pPr>
        <w:widowControl/>
        <w:spacing w:line="360" w:lineRule="auto"/>
        <w:ind w:left="720" w:hanging="720"/>
        <w:jc w:val="both"/>
        <w:rPr>
          <w:b/>
          <w:sz w:val="24"/>
          <w:szCs w:val="24"/>
        </w:rPr>
      </w:pPr>
      <w:r w:rsidRPr="003674C5">
        <w:rPr>
          <w:b/>
          <w:sz w:val="24"/>
          <w:szCs w:val="24"/>
        </w:rPr>
        <w:t>Q.</w:t>
      </w:r>
      <w:r w:rsidRPr="003674C5">
        <w:rPr>
          <w:b/>
          <w:sz w:val="24"/>
          <w:szCs w:val="24"/>
        </w:rPr>
        <w:tab/>
        <w:t>DOES THE COMPANY’S PROPOSED INCREASE IN THE BSC DISCOURAGE CUSTOMERS FROM CONSERVING ENERGY</w:t>
      </w:r>
      <w:r w:rsidR="00360BCF">
        <w:rPr>
          <w:b/>
          <w:sz w:val="24"/>
          <w:szCs w:val="24"/>
        </w:rPr>
        <w:t xml:space="preserve">, IMPLEMENTING </w:t>
      </w:r>
      <w:r w:rsidRPr="003674C5">
        <w:rPr>
          <w:b/>
          <w:sz w:val="24"/>
          <w:szCs w:val="24"/>
        </w:rPr>
        <w:t>ENERGY EFFICIENCY</w:t>
      </w:r>
      <w:r w:rsidR="00E17E9B">
        <w:rPr>
          <w:b/>
          <w:sz w:val="24"/>
          <w:szCs w:val="24"/>
        </w:rPr>
        <w:t xml:space="preserve"> MEASURES</w:t>
      </w:r>
      <w:r w:rsidR="00360BCF">
        <w:rPr>
          <w:b/>
          <w:sz w:val="24"/>
          <w:szCs w:val="24"/>
        </w:rPr>
        <w:t>, OR INSTALLING DISTRIBUTED GENERATION</w:t>
      </w:r>
      <w:r w:rsidRPr="003674C5">
        <w:rPr>
          <w:b/>
          <w:sz w:val="24"/>
          <w:szCs w:val="24"/>
        </w:rPr>
        <w:t>?</w:t>
      </w:r>
    </w:p>
    <w:p w14:paraId="27D2891A" w14:textId="2982B99B"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360BCF">
        <w:rPr>
          <w:sz w:val="24"/>
          <w:szCs w:val="24"/>
        </w:rPr>
        <w:t>No.</w:t>
      </w:r>
      <w:r w:rsidR="00E17E9B">
        <w:rPr>
          <w:sz w:val="24"/>
          <w:szCs w:val="24"/>
        </w:rPr>
        <w:t xml:space="preserve"> </w:t>
      </w:r>
      <w:r w:rsidR="00360BCF">
        <w:rPr>
          <w:sz w:val="24"/>
          <w:szCs w:val="24"/>
        </w:rPr>
        <w:t xml:space="preserve">The Company’s </w:t>
      </w:r>
      <w:r w:rsidR="00A83D8C">
        <w:rPr>
          <w:sz w:val="24"/>
          <w:szCs w:val="24"/>
        </w:rPr>
        <w:t>propo</w:t>
      </w:r>
      <w:r w:rsidR="00B60B76">
        <w:rPr>
          <w:sz w:val="24"/>
          <w:szCs w:val="24"/>
        </w:rPr>
        <w:t>sed rate design actually increases the value of conservation, energy efficiency, and distributed generation. The Company’s rates proposed in the ARP include higher energy charges for all rates within the Domestic Group, which provides a greater</w:t>
      </w:r>
      <w:r w:rsidR="00625A50">
        <w:rPr>
          <w:sz w:val="24"/>
          <w:szCs w:val="24"/>
        </w:rPr>
        <w:t xml:space="preserve"> financial</w:t>
      </w:r>
      <w:r w:rsidR="00B60B76">
        <w:rPr>
          <w:sz w:val="24"/>
          <w:szCs w:val="24"/>
        </w:rPr>
        <w:t xml:space="preserve"> incentive to pursue these options in the future. </w:t>
      </w:r>
    </w:p>
    <w:p w14:paraId="52E27F30" w14:textId="77777777" w:rsidR="001412EE" w:rsidRDefault="001412EE" w:rsidP="001412EE">
      <w:pPr>
        <w:widowControl/>
        <w:spacing w:line="360" w:lineRule="auto"/>
        <w:ind w:left="720" w:hanging="720"/>
        <w:jc w:val="both"/>
        <w:rPr>
          <w:sz w:val="24"/>
          <w:szCs w:val="24"/>
        </w:rPr>
      </w:pPr>
    </w:p>
    <w:p w14:paraId="56363EFC" w14:textId="00E83B66" w:rsidR="001412EE" w:rsidRPr="003674C5" w:rsidRDefault="001412EE" w:rsidP="001412EE">
      <w:pPr>
        <w:widowControl/>
        <w:spacing w:line="360" w:lineRule="auto"/>
        <w:ind w:left="720" w:hanging="720"/>
        <w:jc w:val="both"/>
        <w:rPr>
          <w:b/>
          <w:sz w:val="24"/>
          <w:szCs w:val="24"/>
        </w:rPr>
      </w:pPr>
      <w:r w:rsidRPr="003674C5">
        <w:rPr>
          <w:b/>
          <w:sz w:val="24"/>
          <w:szCs w:val="24"/>
        </w:rPr>
        <w:t>Q.</w:t>
      </w:r>
      <w:r w:rsidRPr="003674C5">
        <w:rPr>
          <w:b/>
          <w:sz w:val="24"/>
          <w:szCs w:val="24"/>
        </w:rPr>
        <w:tab/>
        <w:t>WHAT IS THE IMPACT OF THE PROPOSED INCREASE IN BSC ON LOW</w:t>
      </w:r>
      <w:r w:rsidR="001543F0">
        <w:rPr>
          <w:b/>
          <w:sz w:val="24"/>
          <w:szCs w:val="24"/>
        </w:rPr>
        <w:t>-</w:t>
      </w:r>
      <w:r w:rsidRPr="003674C5">
        <w:rPr>
          <w:b/>
          <w:sz w:val="24"/>
          <w:szCs w:val="24"/>
        </w:rPr>
        <w:t>INCOME CUSTOMERS?</w:t>
      </w:r>
    </w:p>
    <w:p w14:paraId="19901999" w14:textId="4DA645B7" w:rsidR="006B1170" w:rsidRDefault="001412EE" w:rsidP="001412EE">
      <w:pPr>
        <w:widowControl/>
        <w:spacing w:line="360" w:lineRule="auto"/>
        <w:ind w:left="720" w:hanging="720"/>
        <w:jc w:val="both"/>
        <w:rPr>
          <w:sz w:val="24"/>
          <w:szCs w:val="24"/>
        </w:rPr>
      </w:pPr>
      <w:r>
        <w:rPr>
          <w:sz w:val="24"/>
          <w:szCs w:val="24"/>
        </w:rPr>
        <w:t>A.</w:t>
      </w:r>
      <w:r>
        <w:rPr>
          <w:sz w:val="24"/>
          <w:szCs w:val="24"/>
        </w:rPr>
        <w:tab/>
      </w:r>
      <w:r w:rsidR="0017490C">
        <w:rPr>
          <w:sz w:val="24"/>
          <w:szCs w:val="24"/>
        </w:rPr>
        <w:t>Contrary to the testimony of many parties, low</w:t>
      </w:r>
      <w:r w:rsidR="001543F0">
        <w:rPr>
          <w:sz w:val="24"/>
          <w:szCs w:val="24"/>
        </w:rPr>
        <w:t>-</w:t>
      </w:r>
      <w:r w:rsidR="0017490C">
        <w:rPr>
          <w:sz w:val="24"/>
          <w:szCs w:val="24"/>
        </w:rPr>
        <w:t xml:space="preserve">income customers </w:t>
      </w:r>
      <w:r w:rsidR="005231C2">
        <w:rPr>
          <w:sz w:val="24"/>
          <w:szCs w:val="24"/>
        </w:rPr>
        <w:t xml:space="preserve">on average </w:t>
      </w:r>
      <w:r w:rsidR="0017490C">
        <w:rPr>
          <w:sz w:val="24"/>
          <w:szCs w:val="24"/>
        </w:rPr>
        <w:t xml:space="preserve">are </w:t>
      </w:r>
      <w:r w:rsidR="005231C2">
        <w:rPr>
          <w:sz w:val="24"/>
          <w:szCs w:val="24"/>
        </w:rPr>
        <w:t>minimally</w:t>
      </w:r>
      <w:r w:rsidR="0017490C">
        <w:rPr>
          <w:sz w:val="24"/>
          <w:szCs w:val="24"/>
        </w:rPr>
        <w:t xml:space="preserve"> impacted by th</w:t>
      </w:r>
      <w:r w:rsidR="00BD2E69">
        <w:rPr>
          <w:sz w:val="24"/>
          <w:szCs w:val="24"/>
        </w:rPr>
        <w:t xml:space="preserve">e change to the BSC. As previously shown in the response to data request STF-PIA-8-8, the average </w:t>
      </w:r>
      <w:r w:rsidR="00454778">
        <w:rPr>
          <w:sz w:val="24"/>
          <w:szCs w:val="24"/>
        </w:rPr>
        <w:t>low-income</w:t>
      </w:r>
      <w:r w:rsidR="00BD2E69">
        <w:rPr>
          <w:sz w:val="24"/>
          <w:szCs w:val="24"/>
        </w:rPr>
        <w:t xml:space="preserve"> customer as identified in demographical data sourced from Acxiom uses </w:t>
      </w:r>
      <w:r w:rsidR="00200A3C">
        <w:rPr>
          <w:sz w:val="24"/>
          <w:szCs w:val="24"/>
        </w:rPr>
        <w:t xml:space="preserve">only slightly less </w:t>
      </w:r>
      <w:r w:rsidR="00BD2E69">
        <w:rPr>
          <w:sz w:val="24"/>
          <w:szCs w:val="24"/>
        </w:rPr>
        <w:t xml:space="preserve">energy </w:t>
      </w:r>
      <w:r w:rsidR="00200A3C">
        <w:rPr>
          <w:sz w:val="24"/>
          <w:szCs w:val="24"/>
        </w:rPr>
        <w:t xml:space="preserve">than </w:t>
      </w:r>
      <w:r w:rsidR="00BD2E69">
        <w:rPr>
          <w:sz w:val="24"/>
          <w:szCs w:val="24"/>
        </w:rPr>
        <w:t xml:space="preserve">the average residential customer. </w:t>
      </w:r>
    </w:p>
    <w:p w14:paraId="34E8C68D" w14:textId="77777777" w:rsidR="006B1170" w:rsidRDefault="006B1170" w:rsidP="001412EE">
      <w:pPr>
        <w:widowControl/>
        <w:spacing w:line="360" w:lineRule="auto"/>
        <w:ind w:left="720" w:hanging="720"/>
        <w:jc w:val="both"/>
        <w:rPr>
          <w:sz w:val="24"/>
          <w:szCs w:val="24"/>
        </w:rPr>
      </w:pPr>
    </w:p>
    <w:p w14:paraId="7A1B2E9F" w14:textId="537ED616" w:rsidR="001412EE" w:rsidRDefault="00BD2E69" w:rsidP="00520300">
      <w:pPr>
        <w:widowControl/>
        <w:spacing w:line="360" w:lineRule="auto"/>
        <w:ind w:left="720"/>
        <w:jc w:val="both"/>
        <w:rPr>
          <w:sz w:val="24"/>
          <w:szCs w:val="24"/>
        </w:rPr>
      </w:pPr>
      <w:r>
        <w:rPr>
          <w:sz w:val="24"/>
          <w:szCs w:val="24"/>
        </w:rPr>
        <w:t xml:space="preserve">Additionally, many </w:t>
      </w:r>
      <w:r w:rsidR="00454778">
        <w:rPr>
          <w:sz w:val="24"/>
          <w:szCs w:val="24"/>
        </w:rPr>
        <w:t>low-income</w:t>
      </w:r>
      <w:r>
        <w:rPr>
          <w:sz w:val="24"/>
          <w:szCs w:val="24"/>
        </w:rPr>
        <w:t xml:space="preserve"> customers use more electricity than the average customer – </w:t>
      </w:r>
      <w:r w:rsidR="00A80154">
        <w:rPr>
          <w:sz w:val="24"/>
          <w:szCs w:val="24"/>
        </w:rPr>
        <w:t xml:space="preserve">including </w:t>
      </w:r>
      <w:r>
        <w:rPr>
          <w:sz w:val="24"/>
          <w:szCs w:val="24"/>
        </w:rPr>
        <w:t>those who receive</w:t>
      </w:r>
      <w:r w:rsidR="00A80154">
        <w:rPr>
          <w:sz w:val="24"/>
          <w:szCs w:val="24"/>
        </w:rPr>
        <w:t xml:space="preserve"> Low Income Home Energy Assistance Program (“LIHEAP”)</w:t>
      </w:r>
      <w:r w:rsidR="006645DA">
        <w:rPr>
          <w:sz w:val="24"/>
          <w:szCs w:val="24"/>
        </w:rPr>
        <w:t xml:space="preserve"> and</w:t>
      </w:r>
      <w:bookmarkStart w:id="2" w:name="_GoBack"/>
      <w:bookmarkEnd w:id="2"/>
      <w:r>
        <w:rPr>
          <w:sz w:val="24"/>
          <w:szCs w:val="24"/>
        </w:rPr>
        <w:t xml:space="preserve"> pledges of assistance from outside agencies. </w:t>
      </w:r>
      <w:r w:rsidR="00794E25">
        <w:rPr>
          <w:sz w:val="24"/>
          <w:szCs w:val="24"/>
        </w:rPr>
        <w:t>I</w:t>
      </w:r>
      <w:r>
        <w:rPr>
          <w:sz w:val="24"/>
          <w:szCs w:val="24"/>
        </w:rPr>
        <w:t>n those cases</w:t>
      </w:r>
      <w:r w:rsidR="00794E25">
        <w:rPr>
          <w:sz w:val="24"/>
          <w:szCs w:val="24"/>
        </w:rPr>
        <w:t>,</w:t>
      </w:r>
      <w:r>
        <w:rPr>
          <w:sz w:val="24"/>
          <w:szCs w:val="24"/>
        </w:rPr>
        <w:t xml:space="preserve"> the increase to the BSC would </w:t>
      </w:r>
      <w:r w:rsidR="00794E25">
        <w:rPr>
          <w:sz w:val="24"/>
          <w:szCs w:val="24"/>
        </w:rPr>
        <w:t>benefit these customers and result in a lower bill impact.</w:t>
      </w:r>
    </w:p>
    <w:p w14:paraId="03DA18BF" w14:textId="77777777" w:rsidR="001412EE" w:rsidRPr="0080078C" w:rsidRDefault="001412EE" w:rsidP="001412EE">
      <w:pPr>
        <w:widowControl/>
        <w:spacing w:line="360" w:lineRule="auto"/>
        <w:ind w:left="720" w:hanging="720"/>
        <w:jc w:val="both"/>
        <w:rPr>
          <w:sz w:val="24"/>
          <w:szCs w:val="24"/>
        </w:rPr>
      </w:pPr>
    </w:p>
    <w:p w14:paraId="60F40983" w14:textId="3966E0EC" w:rsidR="001412EE" w:rsidRPr="00794000" w:rsidRDefault="001412EE" w:rsidP="001412EE">
      <w:pPr>
        <w:widowControl/>
        <w:spacing w:line="360" w:lineRule="auto"/>
        <w:ind w:left="720" w:hanging="720"/>
        <w:jc w:val="both"/>
        <w:rPr>
          <w:b/>
          <w:sz w:val="24"/>
          <w:szCs w:val="24"/>
        </w:rPr>
      </w:pPr>
      <w:r w:rsidRPr="00794000">
        <w:rPr>
          <w:b/>
          <w:sz w:val="24"/>
          <w:szCs w:val="24"/>
        </w:rPr>
        <w:t>Q.</w:t>
      </w:r>
      <w:r w:rsidRPr="00794000">
        <w:rPr>
          <w:b/>
          <w:sz w:val="24"/>
          <w:szCs w:val="24"/>
        </w:rPr>
        <w:tab/>
      </w:r>
      <w:r>
        <w:rPr>
          <w:b/>
          <w:sz w:val="24"/>
          <w:szCs w:val="24"/>
        </w:rPr>
        <w:t xml:space="preserve">IS IT REASONABLE TO USE A CUSTOMER WITH ONLY </w:t>
      </w:r>
      <w:r w:rsidR="007F1526">
        <w:rPr>
          <w:b/>
          <w:sz w:val="24"/>
          <w:szCs w:val="24"/>
        </w:rPr>
        <w:t xml:space="preserve">200 KWH </w:t>
      </w:r>
      <w:r>
        <w:rPr>
          <w:b/>
          <w:sz w:val="24"/>
          <w:szCs w:val="24"/>
        </w:rPr>
        <w:t xml:space="preserve">OF USAGE IN A MONTH AS AN EXAMPLE FOR THE EFFECT ON CUSTOMERS FROM GEORGIA POWER’S RATE CASE? </w:t>
      </w:r>
    </w:p>
    <w:p w14:paraId="0D1DD44A" w14:textId="369BA1B9"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255BAB">
        <w:rPr>
          <w:sz w:val="24"/>
          <w:szCs w:val="24"/>
        </w:rPr>
        <w:t xml:space="preserve">No. </w:t>
      </w:r>
      <w:r w:rsidR="00AA2B10">
        <w:rPr>
          <w:sz w:val="24"/>
          <w:szCs w:val="24"/>
        </w:rPr>
        <w:t xml:space="preserve">As a result of the current ‘R’ </w:t>
      </w:r>
      <w:r w:rsidR="00B26EE7">
        <w:rPr>
          <w:sz w:val="24"/>
          <w:szCs w:val="24"/>
        </w:rPr>
        <w:t>R</w:t>
      </w:r>
      <w:r w:rsidR="00AA2B10">
        <w:rPr>
          <w:sz w:val="24"/>
          <w:szCs w:val="24"/>
        </w:rPr>
        <w:t xml:space="preserve">ate structure with a fixed and variable portion only, the increase in the BSC will have a </w:t>
      </w:r>
      <w:r w:rsidR="005231C2">
        <w:rPr>
          <w:sz w:val="24"/>
          <w:szCs w:val="24"/>
        </w:rPr>
        <w:t xml:space="preserve">slightly larger </w:t>
      </w:r>
      <w:r w:rsidR="00AA2B10">
        <w:rPr>
          <w:sz w:val="24"/>
          <w:szCs w:val="24"/>
        </w:rPr>
        <w:t>impact on low energy users because the BSC will make up a greater share of the low use customers’ bill</w:t>
      </w:r>
      <w:r w:rsidR="007F1526">
        <w:rPr>
          <w:sz w:val="24"/>
          <w:szCs w:val="24"/>
        </w:rPr>
        <w:t>s</w:t>
      </w:r>
      <w:r w:rsidR="00AA2B10">
        <w:rPr>
          <w:sz w:val="24"/>
          <w:szCs w:val="24"/>
        </w:rPr>
        <w:t xml:space="preserve">. However, the example provided by PIA Staff for the </w:t>
      </w:r>
      <w:r w:rsidR="005231C2">
        <w:rPr>
          <w:sz w:val="24"/>
          <w:szCs w:val="24"/>
        </w:rPr>
        <w:t>D</w:t>
      </w:r>
      <w:r w:rsidR="00AA2B10">
        <w:rPr>
          <w:sz w:val="24"/>
          <w:szCs w:val="24"/>
        </w:rPr>
        <w:t xml:space="preserve">omestic </w:t>
      </w:r>
      <w:r w:rsidR="005231C2">
        <w:rPr>
          <w:sz w:val="24"/>
          <w:szCs w:val="24"/>
        </w:rPr>
        <w:t>G</w:t>
      </w:r>
      <w:r w:rsidR="00AA2B10">
        <w:rPr>
          <w:sz w:val="24"/>
          <w:szCs w:val="24"/>
        </w:rPr>
        <w:t>roup provides an unrealistic data point since customer usage of 200</w:t>
      </w:r>
      <w:r w:rsidR="007F452A">
        <w:rPr>
          <w:sz w:val="24"/>
          <w:szCs w:val="24"/>
        </w:rPr>
        <w:t xml:space="preserve"> </w:t>
      </w:r>
      <w:r w:rsidR="00AA2B10">
        <w:rPr>
          <w:sz w:val="24"/>
          <w:szCs w:val="24"/>
        </w:rPr>
        <w:t>kWh per month or less all year is</w:t>
      </w:r>
      <w:r w:rsidR="00625A50">
        <w:rPr>
          <w:sz w:val="24"/>
          <w:szCs w:val="24"/>
        </w:rPr>
        <w:t xml:space="preserve"> very</w:t>
      </w:r>
      <w:r w:rsidR="00AA2B10">
        <w:rPr>
          <w:sz w:val="24"/>
          <w:szCs w:val="24"/>
        </w:rPr>
        <w:t xml:space="preserve"> rare. </w:t>
      </w:r>
      <w:r w:rsidR="005817D1">
        <w:rPr>
          <w:sz w:val="24"/>
          <w:szCs w:val="24"/>
        </w:rPr>
        <w:t xml:space="preserve">In fact, this level of usage is approximately equal to just the combination of indoor lighting and a refrigerator for a traditional residence. Therefore, 200 kWh per month likely reflects a home that is often vacant or possibly a vacation home – not a normal inhabited residence. </w:t>
      </w:r>
      <w:r w:rsidR="00AA2B10">
        <w:rPr>
          <w:sz w:val="24"/>
          <w:szCs w:val="24"/>
        </w:rPr>
        <w:t xml:space="preserve">A typical residential customer uses about 1,000 kWh a month and is likely to see an increase of 7.22% in 2020, 1.75% in 2021 and 2.74% in 2022. This is a compounded retail impact </w:t>
      </w:r>
      <w:r w:rsidR="00255BAB">
        <w:rPr>
          <w:sz w:val="24"/>
          <w:szCs w:val="24"/>
        </w:rPr>
        <w:t xml:space="preserve">over three years </w:t>
      </w:r>
      <w:r w:rsidR="00AA2B10">
        <w:rPr>
          <w:sz w:val="24"/>
          <w:szCs w:val="24"/>
        </w:rPr>
        <w:t xml:space="preserve">of 12.08%, not the 20% </w:t>
      </w:r>
      <w:r w:rsidR="000B7F0B">
        <w:rPr>
          <w:sz w:val="24"/>
          <w:szCs w:val="24"/>
        </w:rPr>
        <w:t xml:space="preserve">PIA </w:t>
      </w:r>
      <w:r w:rsidR="00AA2B10">
        <w:rPr>
          <w:sz w:val="24"/>
          <w:szCs w:val="24"/>
        </w:rPr>
        <w:t>Staff claims.</w:t>
      </w:r>
    </w:p>
    <w:p w14:paraId="4C65CB5C" w14:textId="77777777" w:rsidR="001412EE" w:rsidRDefault="001412EE" w:rsidP="001412EE">
      <w:pPr>
        <w:widowControl/>
        <w:spacing w:line="360" w:lineRule="auto"/>
        <w:jc w:val="both"/>
        <w:rPr>
          <w:sz w:val="24"/>
          <w:szCs w:val="24"/>
        </w:rPr>
      </w:pPr>
    </w:p>
    <w:p w14:paraId="78377643" w14:textId="2385CB63" w:rsidR="001412EE" w:rsidRPr="0010655A" w:rsidRDefault="001412EE" w:rsidP="001412EE">
      <w:pPr>
        <w:widowControl/>
        <w:spacing w:line="360" w:lineRule="auto"/>
        <w:ind w:left="720" w:hanging="720"/>
        <w:jc w:val="both"/>
        <w:rPr>
          <w:b/>
          <w:sz w:val="24"/>
          <w:szCs w:val="24"/>
        </w:rPr>
      </w:pPr>
      <w:r w:rsidRPr="0010655A">
        <w:rPr>
          <w:b/>
          <w:sz w:val="24"/>
          <w:szCs w:val="24"/>
        </w:rPr>
        <w:t>Q.</w:t>
      </w:r>
      <w:r w:rsidRPr="0010655A">
        <w:rPr>
          <w:b/>
          <w:sz w:val="24"/>
          <w:szCs w:val="24"/>
        </w:rPr>
        <w:tab/>
        <w:t xml:space="preserve">IS THE COMPANY’S PROPOSED PRORATION OF THE </w:t>
      </w:r>
      <w:r w:rsidR="007F1526">
        <w:rPr>
          <w:b/>
          <w:sz w:val="24"/>
          <w:szCs w:val="24"/>
        </w:rPr>
        <w:t>BSC</w:t>
      </w:r>
      <w:r w:rsidRPr="0010655A">
        <w:rPr>
          <w:b/>
          <w:sz w:val="24"/>
          <w:szCs w:val="24"/>
        </w:rPr>
        <w:t xml:space="preserve"> ON A DAILY BASIS RATHER THAN MONTHLY BASIS GOOD FOR CUSTOMERS?</w:t>
      </w:r>
    </w:p>
    <w:p w14:paraId="17FB9CD1" w14:textId="30781635" w:rsidR="001412EE" w:rsidRDefault="001412EE" w:rsidP="00171EB2">
      <w:pPr>
        <w:widowControl/>
        <w:spacing w:line="360" w:lineRule="auto"/>
        <w:ind w:left="720" w:hanging="720"/>
        <w:jc w:val="both"/>
        <w:rPr>
          <w:sz w:val="24"/>
          <w:szCs w:val="24"/>
        </w:rPr>
      </w:pPr>
      <w:r>
        <w:rPr>
          <w:sz w:val="24"/>
          <w:szCs w:val="24"/>
        </w:rPr>
        <w:t>A.</w:t>
      </w:r>
      <w:r>
        <w:rPr>
          <w:sz w:val="24"/>
          <w:szCs w:val="24"/>
        </w:rPr>
        <w:tab/>
        <w:t>Yes. By prorating the BSC on a daily basis, the Company seeks to match the BSC to the exact number of days of service to better ensure that similarly situated customers are getting the same service for the charges they’re paying. Under the current monthly BSC construct, the BSC is determined each month for a “monthly” period of service ranging from 25 days to 36 days. This means that a residential customer could pay the BSC for 25 days of service while a similarly situated customer pays the same BSC for 36 days. To mitigate this potential inequity, the Company’s proposal is to set the BSC on a daily basis to more accurately and fairly align the cost</w:t>
      </w:r>
      <w:r w:rsidR="00204AB0">
        <w:rPr>
          <w:sz w:val="24"/>
          <w:szCs w:val="24"/>
        </w:rPr>
        <w:t>-</w:t>
      </w:r>
      <w:r>
        <w:rPr>
          <w:sz w:val="24"/>
          <w:szCs w:val="24"/>
        </w:rPr>
        <w:t>of</w:t>
      </w:r>
      <w:r w:rsidR="00204AB0">
        <w:rPr>
          <w:sz w:val="24"/>
          <w:szCs w:val="24"/>
        </w:rPr>
        <w:t>-</w:t>
      </w:r>
      <w:r>
        <w:rPr>
          <w:sz w:val="24"/>
          <w:szCs w:val="24"/>
        </w:rPr>
        <w:t>service with the service received. Contrary to PIA Staff’s assumption, the discrepancy in monthly determination of the BSC is not because of differing month length but more critically because some customers may be getting fewer days of service for the same price as others receiving more. The Company does not believe that this is a “complicating change” and customers will still receive a monthly bill with the BSC simply determined on a per day basis.</w:t>
      </w:r>
    </w:p>
    <w:p w14:paraId="2ABBB18E" w14:textId="77777777" w:rsidR="001412EE" w:rsidRDefault="001412EE" w:rsidP="001412EE">
      <w:pPr>
        <w:widowControl/>
        <w:spacing w:line="360" w:lineRule="auto"/>
        <w:ind w:left="720" w:hanging="720"/>
        <w:jc w:val="both"/>
        <w:rPr>
          <w:sz w:val="24"/>
          <w:szCs w:val="24"/>
        </w:rPr>
      </w:pPr>
    </w:p>
    <w:p w14:paraId="67FE3FDE" w14:textId="77777777" w:rsidR="00255BAB" w:rsidRPr="00E56552" w:rsidRDefault="00255BAB" w:rsidP="00255BAB">
      <w:pPr>
        <w:widowControl/>
        <w:spacing w:line="360" w:lineRule="auto"/>
        <w:ind w:left="720" w:hanging="720"/>
        <w:jc w:val="both"/>
        <w:rPr>
          <w:b/>
          <w:sz w:val="24"/>
          <w:szCs w:val="24"/>
        </w:rPr>
      </w:pPr>
      <w:r w:rsidRPr="00E56552">
        <w:rPr>
          <w:b/>
          <w:sz w:val="24"/>
          <w:szCs w:val="24"/>
        </w:rPr>
        <w:t>Q.</w:t>
      </w:r>
      <w:r w:rsidRPr="00E56552">
        <w:rPr>
          <w:b/>
          <w:sz w:val="24"/>
          <w:szCs w:val="24"/>
        </w:rPr>
        <w:tab/>
        <w:t xml:space="preserve">IS IT TRUE THAT THE EFFECTIVE CHANGE IN </w:t>
      </w:r>
      <w:r>
        <w:rPr>
          <w:b/>
          <w:sz w:val="24"/>
          <w:szCs w:val="24"/>
        </w:rPr>
        <w:t>THE BSC</w:t>
      </w:r>
      <w:r w:rsidRPr="00E56552">
        <w:rPr>
          <w:b/>
          <w:sz w:val="24"/>
          <w:szCs w:val="24"/>
        </w:rPr>
        <w:t xml:space="preserve"> IS GREATER THAN THE COMPANY STATES BECAUSE THE IMPACTS OF THE PROPOSED RATE INCREASE </w:t>
      </w:r>
      <w:r>
        <w:rPr>
          <w:b/>
          <w:sz w:val="24"/>
          <w:szCs w:val="24"/>
        </w:rPr>
        <w:t>ARE</w:t>
      </w:r>
      <w:r w:rsidRPr="00E56552">
        <w:rPr>
          <w:b/>
          <w:sz w:val="24"/>
          <w:szCs w:val="24"/>
        </w:rPr>
        <w:t xml:space="preserve"> HIGHER ONCE RIDERS</w:t>
      </w:r>
      <w:r>
        <w:rPr>
          <w:b/>
          <w:sz w:val="24"/>
          <w:szCs w:val="24"/>
        </w:rPr>
        <w:t xml:space="preserve"> </w:t>
      </w:r>
      <w:r w:rsidRPr="00E56552">
        <w:rPr>
          <w:b/>
          <w:sz w:val="24"/>
          <w:szCs w:val="24"/>
        </w:rPr>
        <w:t xml:space="preserve">ARE ADJUSTED AS </w:t>
      </w:r>
      <w:r>
        <w:rPr>
          <w:b/>
          <w:sz w:val="24"/>
          <w:szCs w:val="24"/>
        </w:rPr>
        <w:t>CLAIMED</w:t>
      </w:r>
      <w:r w:rsidRPr="00E56552">
        <w:rPr>
          <w:b/>
          <w:sz w:val="24"/>
          <w:szCs w:val="24"/>
        </w:rPr>
        <w:t xml:space="preserve"> BY GIPL/SOUTHFACE/VOTE SOLAR WITNESS BARNES? </w:t>
      </w:r>
    </w:p>
    <w:p w14:paraId="1FE51E86" w14:textId="77777777" w:rsidR="00255BAB" w:rsidRPr="002B2C8B" w:rsidRDefault="00255BAB" w:rsidP="00255BAB">
      <w:pPr>
        <w:widowControl/>
        <w:spacing w:line="360" w:lineRule="auto"/>
        <w:ind w:left="720" w:hanging="720"/>
        <w:jc w:val="both"/>
        <w:rPr>
          <w:sz w:val="24"/>
          <w:szCs w:val="24"/>
        </w:rPr>
      </w:pPr>
      <w:r w:rsidRPr="002B2C8B">
        <w:rPr>
          <w:sz w:val="24"/>
          <w:szCs w:val="24"/>
        </w:rPr>
        <w:t>A.</w:t>
      </w:r>
      <w:r w:rsidRPr="002B2C8B">
        <w:rPr>
          <w:sz w:val="24"/>
          <w:szCs w:val="24"/>
        </w:rPr>
        <w:tab/>
      </w:r>
      <w:r>
        <w:rPr>
          <w:sz w:val="24"/>
          <w:szCs w:val="24"/>
        </w:rPr>
        <w:t xml:space="preserve">No. Footnote 1 to Exhibit LTL-1, which shows the impact of the proposed change in the BSCs for the Company’s rates, states that the appropriate riders have already been accounted for in the calculation. Therefore, no additional adjustment is required to demonstrate the effect of the Company’s proposed increased. The ‘nominal change’ and ‘effective change’ described by GIPL/Southface/Vote Solar Witness Barnes is a meaningless distinction since the Company’s stated impacts to customers already accounts for the effects of the riders. </w:t>
      </w:r>
    </w:p>
    <w:p w14:paraId="60EDCB17" w14:textId="77777777" w:rsidR="001412EE" w:rsidRDefault="001412EE" w:rsidP="001412EE">
      <w:pPr>
        <w:widowControl/>
        <w:spacing w:line="360" w:lineRule="auto"/>
        <w:ind w:left="720" w:hanging="720"/>
        <w:jc w:val="both"/>
        <w:rPr>
          <w:sz w:val="24"/>
          <w:szCs w:val="24"/>
        </w:rPr>
      </w:pPr>
    </w:p>
    <w:p w14:paraId="1D952366" w14:textId="539D36E8" w:rsidR="001412EE" w:rsidRPr="00C31056" w:rsidRDefault="001412EE" w:rsidP="001412EE">
      <w:pPr>
        <w:widowControl/>
        <w:spacing w:line="360" w:lineRule="auto"/>
        <w:ind w:left="720" w:hanging="720"/>
        <w:jc w:val="both"/>
        <w:rPr>
          <w:b/>
          <w:sz w:val="24"/>
          <w:szCs w:val="24"/>
        </w:rPr>
      </w:pPr>
      <w:r w:rsidRPr="00C31056">
        <w:rPr>
          <w:b/>
          <w:sz w:val="24"/>
          <w:szCs w:val="24"/>
        </w:rPr>
        <w:t>Q.</w:t>
      </w:r>
      <w:r w:rsidRPr="00C31056">
        <w:rPr>
          <w:b/>
          <w:sz w:val="24"/>
          <w:szCs w:val="24"/>
        </w:rPr>
        <w:tab/>
        <w:t>DO YOU HAVE ANY CONCERNS ABOUT PIA STAFF’S RECOMMENDATIONS FOR THE SENIOR</w:t>
      </w:r>
      <w:r w:rsidR="007F1526">
        <w:rPr>
          <w:b/>
          <w:sz w:val="24"/>
          <w:szCs w:val="24"/>
        </w:rPr>
        <w:t xml:space="preserve"> CITIZEN</w:t>
      </w:r>
      <w:r w:rsidRPr="00C31056">
        <w:rPr>
          <w:b/>
          <w:sz w:val="24"/>
          <w:szCs w:val="24"/>
        </w:rPr>
        <w:t xml:space="preserve"> LOW-INCOME DISCOUNT?</w:t>
      </w:r>
      <w:r w:rsidR="000B36B3">
        <w:rPr>
          <w:b/>
          <w:sz w:val="24"/>
          <w:szCs w:val="24"/>
        </w:rPr>
        <w:t xml:space="preserve"> </w:t>
      </w:r>
    </w:p>
    <w:p w14:paraId="7D7BC50F" w14:textId="20187586" w:rsidR="001412EE" w:rsidRDefault="001412EE" w:rsidP="001412EE">
      <w:pPr>
        <w:widowControl/>
        <w:spacing w:line="360" w:lineRule="auto"/>
        <w:ind w:left="720" w:hanging="720"/>
        <w:jc w:val="both"/>
        <w:rPr>
          <w:sz w:val="24"/>
          <w:szCs w:val="24"/>
        </w:rPr>
      </w:pPr>
      <w:r>
        <w:rPr>
          <w:sz w:val="24"/>
          <w:szCs w:val="24"/>
        </w:rPr>
        <w:t>A.</w:t>
      </w:r>
      <w:r>
        <w:rPr>
          <w:sz w:val="24"/>
          <w:szCs w:val="24"/>
        </w:rPr>
        <w:tab/>
        <w:t>Yes. First, PIA Staff recommends expanding the eligibility criteria for the senior citizen low</w:t>
      </w:r>
      <w:r w:rsidR="001543F0">
        <w:rPr>
          <w:sz w:val="24"/>
          <w:szCs w:val="24"/>
        </w:rPr>
        <w:t>-</w:t>
      </w:r>
      <w:r>
        <w:rPr>
          <w:sz w:val="24"/>
          <w:szCs w:val="24"/>
        </w:rPr>
        <w:t xml:space="preserve">income discount to include households with two senior citizens with combined incomes that fall below 200 percent of the federal poverty guidelines for a two-person household. Second, PIA Staff recommends that the same level discount be applied to each qualifying household. The </w:t>
      </w:r>
      <w:r w:rsidR="007F1526">
        <w:rPr>
          <w:sz w:val="24"/>
          <w:szCs w:val="24"/>
        </w:rPr>
        <w:t xml:space="preserve">concern </w:t>
      </w:r>
      <w:r>
        <w:rPr>
          <w:sz w:val="24"/>
          <w:szCs w:val="24"/>
        </w:rPr>
        <w:t xml:space="preserve">with PIA Staff’s recommendation is that </w:t>
      </w:r>
      <w:r w:rsidR="00794E25">
        <w:rPr>
          <w:sz w:val="24"/>
          <w:szCs w:val="24"/>
        </w:rPr>
        <w:t xml:space="preserve">it would either result in an erosion of the benefit afforded to participants in the current senior low-income discount program or it would greatly increase the subsidy being spread to other customers. From the responses provided by Staff during cross examination, it is </w:t>
      </w:r>
      <w:r w:rsidR="00402A17">
        <w:rPr>
          <w:sz w:val="24"/>
          <w:szCs w:val="24"/>
        </w:rPr>
        <w:t xml:space="preserve">still </w:t>
      </w:r>
      <w:r w:rsidR="00794E25">
        <w:rPr>
          <w:sz w:val="24"/>
          <w:szCs w:val="24"/>
        </w:rPr>
        <w:t xml:space="preserve">not clear what changes are being recommended </w:t>
      </w:r>
      <w:r w:rsidR="007F1526">
        <w:rPr>
          <w:sz w:val="24"/>
          <w:szCs w:val="24"/>
        </w:rPr>
        <w:t xml:space="preserve">or how existing participants would be impacted, </w:t>
      </w:r>
      <w:r w:rsidR="00255BAB">
        <w:rPr>
          <w:sz w:val="24"/>
          <w:szCs w:val="24"/>
        </w:rPr>
        <w:t xml:space="preserve">and </w:t>
      </w:r>
      <w:r w:rsidR="00794E25">
        <w:rPr>
          <w:sz w:val="24"/>
          <w:szCs w:val="24"/>
        </w:rPr>
        <w:t>the Company therefo</w:t>
      </w:r>
      <w:r w:rsidR="00402A17">
        <w:rPr>
          <w:sz w:val="24"/>
          <w:szCs w:val="24"/>
        </w:rPr>
        <w:t>re recommends leaving the existing program as-is.</w:t>
      </w:r>
    </w:p>
    <w:p w14:paraId="1043DBD2" w14:textId="77777777" w:rsidR="001412EE" w:rsidRDefault="001412EE" w:rsidP="001412EE">
      <w:pPr>
        <w:widowControl/>
        <w:spacing w:line="360" w:lineRule="auto"/>
        <w:ind w:left="720" w:hanging="720"/>
        <w:jc w:val="both"/>
        <w:rPr>
          <w:sz w:val="24"/>
          <w:szCs w:val="24"/>
        </w:rPr>
      </w:pPr>
    </w:p>
    <w:p w14:paraId="1654B513" w14:textId="77777777" w:rsidR="001412EE" w:rsidRPr="00C31056" w:rsidRDefault="001412EE" w:rsidP="001412EE">
      <w:pPr>
        <w:widowControl/>
        <w:spacing w:line="360" w:lineRule="auto"/>
        <w:ind w:left="720" w:hanging="720"/>
        <w:jc w:val="both"/>
        <w:rPr>
          <w:b/>
          <w:sz w:val="24"/>
          <w:szCs w:val="24"/>
        </w:rPr>
      </w:pPr>
      <w:r w:rsidRPr="00C31056">
        <w:rPr>
          <w:b/>
          <w:sz w:val="24"/>
          <w:szCs w:val="24"/>
        </w:rPr>
        <w:t>Q.</w:t>
      </w:r>
      <w:r w:rsidRPr="00C31056">
        <w:rPr>
          <w:b/>
          <w:sz w:val="24"/>
          <w:szCs w:val="24"/>
        </w:rPr>
        <w:tab/>
        <w:t>DOES THE COMPANY SUPPORT PIA STAFF’S PROPOSAL TO ESTABLISH AN INCOME QUALIFIED WORKING GROUP?</w:t>
      </w:r>
    </w:p>
    <w:p w14:paraId="4AB34CB4" w14:textId="04C79EB4" w:rsidR="001412EE" w:rsidRPr="009344CE" w:rsidRDefault="001412EE" w:rsidP="001412EE">
      <w:pPr>
        <w:widowControl/>
        <w:spacing w:line="360" w:lineRule="auto"/>
        <w:ind w:left="720" w:hanging="720"/>
        <w:jc w:val="both"/>
        <w:rPr>
          <w:sz w:val="24"/>
          <w:szCs w:val="24"/>
        </w:rPr>
      </w:pPr>
      <w:r>
        <w:rPr>
          <w:sz w:val="24"/>
          <w:szCs w:val="24"/>
        </w:rPr>
        <w:t>A.</w:t>
      </w:r>
      <w:r>
        <w:rPr>
          <w:sz w:val="24"/>
          <w:szCs w:val="24"/>
        </w:rPr>
        <w:tab/>
        <w:t xml:space="preserve">No. An Income Qualified Working Group is not necessary to leverage the Company’s assistance programs to income qualified customers or to inform the Company’s next rate case. </w:t>
      </w:r>
      <w:r w:rsidR="007F452A">
        <w:rPr>
          <w:sz w:val="24"/>
          <w:szCs w:val="24"/>
        </w:rPr>
        <w:t xml:space="preserve">The Company’s Energy Assistance Team is continuously working with community programs and leaders to address the needs of low-income customers. A working group will not enhance those efforts nor make them more efficient. In addition, all </w:t>
      </w:r>
      <w:r w:rsidR="00402A17">
        <w:rPr>
          <w:sz w:val="24"/>
          <w:szCs w:val="24"/>
        </w:rPr>
        <w:t xml:space="preserve">participants in this rate case were afforded the opportunity to propose changes to the existing programs or to introduce new </w:t>
      </w:r>
      <w:r w:rsidR="005B0912">
        <w:rPr>
          <w:sz w:val="24"/>
          <w:szCs w:val="24"/>
        </w:rPr>
        <w:t>low-income</w:t>
      </w:r>
      <w:r w:rsidR="00402A17">
        <w:rPr>
          <w:sz w:val="24"/>
          <w:szCs w:val="24"/>
        </w:rPr>
        <w:t xml:space="preserve"> programs that they deemed beneficial. However, no specific programs or recommendations have been made</w:t>
      </w:r>
      <w:r w:rsidR="007F1526">
        <w:rPr>
          <w:sz w:val="24"/>
          <w:szCs w:val="24"/>
        </w:rPr>
        <w:t>,</w:t>
      </w:r>
      <w:r w:rsidR="00402A17">
        <w:rPr>
          <w:sz w:val="24"/>
          <w:szCs w:val="24"/>
        </w:rPr>
        <w:t xml:space="preserve"> and the Company proposes to continue offering </w:t>
      </w:r>
      <w:r w:rsidR="005B0912">
        <w:rPr>
          <w:sz w:val="24"/>
          <w:szCs w:val="24"/>
        </w:rPr>
        <w:t>its current</w:t>
      </w:r>
      <w:r w:rsidR="00402A17">
        <w:rPr>
          <w:sz w:val="24"/>
          <w:szCs w:val="24"/>
        </w:rPr>
        <w:t xml:space="preserve"> array of programs and outreach to support customers in need.</w:t>
      </w:r>
    </w:p>
    <w:p w14:paraId="5B927513" w14:textId="271C1355" w:rsidR="001412EE" w:rsidRDefault="001412EE" w:rsidP="00321ABF">
      <w:pPr>
        <w:widowControl/>
        <w:spacing w:line="360" w:lineRule="auto"/>
        <w:jc w:val="both"/>
        <w:rPr>
          <w:sz w:val="24"/>
          <w:szCs w:val="24"/>
        </w:rPr>
      </w:pPr>
    </w:p>
    <w:p w14:paraId="7B1E7759" w14:textId="491BAD14" w:rsidR="00321ABF" w:rsidRPr="003F7D6E" w:rsidRDefault="00321ABF" w:rsidP="003F7D6E">
      <w:pPr>
        <w:widowControl/>
        <w:spacing w:line="360" w:lineRule="auto"/>
        <w:ind w:left="720" w:hanging="720"/>
        <w:jc w:val="both"/>
        <w:rPr>
          <w:b/>
          <w:sz w:val="24"/>
          <w:szCs w:val="24"/>
        </w:rPr>
      </w:pPr>
      <w:r w:rsidRPr="003F7D6E">
        <w:rPr>
          <w:b/>
          <w:sz w:val="24"/>
          <w:szCs w:val="24"/>
        </w:rPr>
        <w:t>Q.</w:t>
      </w:r>
      <w:r w:rsidRPr="003F7D6E">
        <w:rPr>
          <w:b/>
          <w:sz w:val="24"/>
          <w:szCs w:val="24"/>
        </w:rPr>
        <w:tab/>
        <w:t>DOES THE COMPANY ALREAD</w:t>
      </w:r>
      <w:r w:rsidR="003F7D6E" w:rsidRPr="003F7D6E">
        <w:rPr>
          <w:b/>
          <w:sz w:val="24"/>
          <w:szCs w:val="24"/>
        </w:rPr>
        <w:t>Y OFFER OR SUPPORT PROGRAMS THAT ASSIST LOW INCOME CUSTOMERS?</w:t>
      </w:r>
    </w:p>
    <w:p w14:paraId="45CBA2E5" w14:textId="389F8001" w:rsidR="003F7D6E" w:rsidRDefault="003F7D6E" w:rsidP="003F7D6E">
      <w:pPr>
        <w:widowControl/>
        <w:spacing w:line="360" w:lineRule="auto"/>
        <w:ind w:left="720" w:hanging="720"/>
        <w:jc w:val="both"/>
        <w:rPr>
          <w:sz w:val="24"/>
          <w:szCs w:val="24"/>
        </w:rPr>
      </w:pPr>
      <w:r>
        <w:rPr>
          <w:sz w:val="24"/>
          <w:szCs w:val="24"/>
        </w:rPr>
        <w:t>A.</w:t>
      </w:r>
      <w:r>
        <w:rPr>
          <w:sz w:val="24"/>
          <w:szCs w:val="24"/>
        </w:rPr>
        <w:tab/>
        <w:t xml:space="preserve">Yes. As mentioned above, Georgia Power’s Energy Assistance Team works </w:t>
      </w:r>
      <w:r w:rsidR="00F474B6">
        <w:rPr>
          <w:sz w:val="24"/>
          <w:szCs w:val="24"/>
        </w:rPr>
        <w:t xml:space="preserve">in </w:t>
      </w:r>
      <w:r>
        <w:rPr>
          <w:sz w:val="24"/>
          <w:szCs w:val="24"/>
        </w:rPr>
        <w:t xml:space="preserve">local communities </w:t>
      </w:r>
      <w:r w:rsidRPr="003F7D6E">
        <w:rPr>
          <w:sz w:val="24"/>
          <w:szCs w:val="24"/>
        </w:rPr>
        <w:t xml:space="preserve">talking to groups who represent low-income customers, advising on programs, and coordinating </w:t>
      </w:r>
      <w:r w:rsidR="00ED2958">
        <w:rPr>
          <w:sz w:val="24"/>
          <w:szCs w:val="24"/>
        </w:rPr>
        <w:t xml:space="preserve">with </w:t>
      </w:r>
      <w:r w:rsidRPr="003F7D6E">
        <w:rPr>
          <w:sz w:val="24"/>
          <w:szCs w:val="24"/>
        </w:rPr>
        <w:t>governmental</w:t>
      </w:r>
      <w:r w:rsidR="00ED2958">
        <w:rPr>
          <w:sz w:val="24"/>
          <w:szCs w:val="24"/>
        </w:rPr>
        <w:t xml:space="preserve"> agencies</w:t>
      </w:r>
      <w:r w:rsidRPr="003F7D6E">
        <w:rPr>
          <w:sz w:val="24"/>
          <w:szCs w:val="24"/>
        </w:rPr>
        <w:t xml:space="preserve"> </w:t>
      </w:r>
      <w:r>
        <w:rPr>
          <w:sz w:val="24"/>
          <w:szCs w:val="24"/>
        </w:rPr>
        <w:t>to address the needs of low-income customers</w:t>
      </w:r>
      <w:r w:rsidR="00F474B6">
        <w:rPr>
          <w:sz w:val="24"/>
          <w:szCs w:val="24"/>
        </w:rPr>
        <w:t xml:space="preserve">, such as the </w:t>
      </w:r>
      <w:r>
        <w:rPr>
          <w:sz w:val="24"/>
          <w:szCs w:val="24"/>
        </w:rPr>
        <w:t>Low-Income Home Energy Assistance Program (“LIHEAP”)</w:t>
      </w:r>
      <w:r w:rsidR="00F474B6">
        <w:rPr>
          <w:sz w:val="24"/>
          <w:szCs w:val="24"/>
        </w:rPr>
        <w:t>. The Company also</w:t>
      </w:r>
      <w:r>
        <w:rPr>
          <w:sz w:val="24"/>
          <w:szCs w:val="24"/>
        </w:rPr>
        <w:t xml:space="preserve"> partners with Project SHARE to help customers pay their bills. In addition, Georgia Power offers options like </w:t>
      </w:r>
      <w:r w:rsidRPr="003F7D6E">
        <w:rPr>
          <w:sz w:val="24"/>
          <w:szCs w:val="24"/>
        </w:rPr>
        <w:t>FlatBill and budget billing</w:t>
      </w:r>
      <w:r>
        <w:rPr>
          <w:sz w:val="24"/>
          <w:szCs w:val="24"/>
        </w:rPr>
        <w:t>, which</w:t>
      </w:r>
      <w:r w:rsidRPr="003F7D6E">
        <w:rPr>
          <w:sz w:val="24"/>
          <w:szCs w:val="24"/>
        </w:rPr>
        <w:t xml:space="preserve"> </w:t>
      </w:r>
      <w:r w:rsidR="00ED2958">
        <w:rPr>
          <w:sz w:val="24"/>
          <w:szCs w:val="24"/>
        </w:rPr>
        <w:t>help</w:t>
      </w:r>
      <w:r w:rsidR="00ED2958" w:rsidRPr="003F7D6E">
        <w:rPr>
          <w:sz w:val="24"/>
          <w:szCs w:val="24"/>
        </w:rPr>
        <w:t xml:space="preserve"> </w:t>
      </w:r>
      <w:r w:rsidRPr="003F7D6E">
        <w:rPr>
          <w:sz w:val="24"/>
          <w:szCs w:val="24"/>
        </w:rPr>
        <w:t>lower income customers</w:t>
      </w:r>
      <w:r>
        <w:rPr>
          <w:sz w:val="24"/>
          <w:szCs w:val="24"/>
        </w:rPr>
        <w:t xml:space="preserve"> by keeping the monthly bill amount more stable and predictable each month, along with PrePay, which</w:t>
      </w:r>
      <w:r w:rsidR="00ED2958">
        <w:rPr>
          <w:sz w:val="24"/>
          <w:szCs w:val="24"/>
        </w:rPr>
        <w:t xml:space="preserve"> can</w:t>
      </w:r>
      <w:r>
        <w:rPr>
          <w:sz w:val="24"/>
          <w:szCs w:val="24"/>
        </w:rPr>
        <w:t xml:space="preserve"> help customers who fall behind on payment of their electric bills. Finally, Georgia Power’s DSM programs aim to help low income customers through the installation of energy efficiency measures and other </w:t>
      </w:r>
      <w:r w:rsidR="00F8029F">
        <w:rPr>
          <w:sz w:val="24"/>
          <w:szCs w:val="24"/>
        </w:rPr>
        <w:t xml:space="preserve">conservation </w:t>
      </w:r>
      <w:r>
        <w:rPr>
          <w:sz w:val="24"/>
          <w:szCs w:val="24"/>
        </w:rPr>
        <w:t>efforts to save customers money.</w:t>
      </w:r>
    </w:p>
    <w:p w14:paraId="1AD57552" w14:textId="77777777" w:rsidR="003F7D6E" w:rsidRPr="00321ABF" w:rsidRDefault="003F7D6E" w:rsidP="003F7D6E">
      <w:pPr>
        <w:widowControl/>
        <w:spacing w:line="360" w:lineRule="auto"/>
        <w:ind w:left="720" w:hanging="720"/>
        <w:jc w:val="both"/>
        <w:rPr>
          <w:sz w:val="24"/>
          <w:szCs w:val="24"/>
        </w:rPr>
      </w:pPr>
    </w:p>
    <w:p w14:paraId="1CA23205" w14:textId="77777777" w:rsidR="001412EE" w:rsidRDefault="001412EE" w:rsidP="002B2829">
      <w:pPr>
        <w:keepNext/>
        <w:widowControl/>
        <w:spacing w:line="360" w:lineRule="auto"/>
        <w:jc w:val="center"/>
        <w:rPr>
          <w:sz w:val="24"/>
          <w:szCs w:val="24"/>
        </w:rPr>
      </w:pPr>
      <w:r w:rsidRPr="004C4C78">
        <w:rPr>
          <w:b/>
          <w:sz w:val="24"/>
          <w:szCs w:val="24"/>
        </w:rPr>
        <w:t xml:space="preserve">IV.  </w:t>
      </w:r>
      <w:r w:rsidRPr="004C4C78">
        <w:rPr>
          <w:b/>
          <w:sz w:val="24"/>
          <w:szCs w:val="24"/>
          <w:u w:val="single"/>
        </w:rPr>
        <w:t>RATES</w:t>
      </w:r>
    </w:p>
    <w:p w14:paraId="1565B4AC" w14:textId="77777777" w:rsidR="001412EE" w:rsidRDefault="001412EE" w:rsidP="002B2829">
      <w:pPr>
        <w:keepNext/>
        <w:widowControl/>
        <w:spacing w:line="360" w:lineRule="auto"/>
        <w:rPr>
          <w:i/>
          <w:sz w:val="24"/>
          <w:szCs w:val="24"/>
        </w:rPr>
      </w:pPr>
    </w:p>
    <w:p w14:paraId="79D0EF91" w14:textId="77777777" w:rsidR="001412EE" w:rsidRDefault="001412EE" w:rsidP="002B2829">
      <w:pPr>
        <w:keepNext/>
        <w:widowControl/>
        <w:spacing w:line="360" w:lineRule="auto"/>
        <w:jc w:val="both"/>
        <w:rPr>
          <w:i/>
          <w:sz w:val="24"/>
          <w:szCs w:val="24"/>
        </w:rPr>
      </w:pPr>
      <w:r>
        <w:rPr>
          <w:i/>
          <w:sz w:val="24"/>
          <w:szCs w:val="24"/>
        </w:rPr>
        <w:t>Modern Rates and Optionality for Customers</w:t>
      </w:r>
    </w:p>
    <w:p w14:paraId="18F2640C" w14:textId="77777777" w:rsidR="000B36B3" w:rsidRDefault="000B36B3" w:rsidP="002B2829">
      <w:pPr>
        <w:keepNext/>
        <w:widowControl/>
        <w:spacing w:line="360" w:lineRule="auto"/>
        <w:ind w:left="720" w:hanging="720"/>
        <w:jc w:val="both"/>
        <w:rPr>
          <w:b/>
          <w:sz w:val="24"/>
          <w:szCs w:val="24"/>
        </w:rPr>
      </w:pPr>
    </w:p>
    <w:p w14:paraId="25F4DF14" w14:textId="77777777" w:rsidR="000B36B3" w:rsidRPr="007246EF" w:rsidRDefault="000B36B3" w:rsidP="002B2829">
      <w:pPr>
        <w:keepNext/>
        <w:widowControl/>
        <w:spacing w:line="360" w:lineRule="auto"/>
        <w:ind w:left="720" w:hanging="720"/>
        <w:jc w:val="both"/>
        <w:rPr>
          <w:b/>
          <w:sz w:val="24"/>
          <w:szCs w:val="24"/>
        </w:rPr>
      </w:pPr>
      <w:r w:rsidRPr="007246EF">
        <w:rPr>
          <w:b/>
          <w:sz w:val="24"/>
          <w:szCs w:val="24"/>
        </w:rPr>
        <w:t xml:space="preserve">Q. </w:t>
      </w:r>
      <w:r w:rsidRPr="007246EF">
        <w:rPr>
          <w:b/>
          <w:sz w:val="24"/>
          <w:szCs w:val="24"/>
        </w:rPr>
        <w:tab/>
        <w:t>WHAT DOES THE COMPANY MEAN WHEN IT PROPOSES TO MODERNIZE RATES?</w:t>
      </w:r>
    </w:p>
    <w:p w14:paraId="4CD45CDB" w14:textId="20843599" w:rsidR="00931F9E" w:rsidRDefault="000B36B3" w:rsidP="000B36B3">
      <w:pPr>
        <w:widowControl/>
        <w:spacing w:line="360" w:lineRule="auto"/>
        <w:ind w:left="720" w:hanging="720"/>
        <w:jc w:val="both"/>
        <w:rPr>
          <w:sz w:val="24"/>
          <w:szCs w:val="24"/>
        </w:rPr>
      </w:pPr>
      <w:r>
        <w:rPr>
          <w:sz w:val="24"/>
          <w:szCs w:val="24"/>
        </w:rPr>
        <w:t>A.</w:t>
      </w:r>
      <w:r>
        <w:rPr>
          <w:sz w:val="24"/>
          <w:szCs w:val="24"/>
        </w:rPr>
        <w:tab/>
      </w:r>
      <w:r w:rsidR="00DB41D5">
        <w:rPr>
          <w:sz w:val="24"/>
          <w:szCs w:val="24"/>
        </w:rPr>
        <w:t xml:space="preserve">In general, the Company proposes to modernize its rates </w:t>
      </w:r>
      <w:r w:rsidR="00DB41D5" w:rsidRPr="002A61F8">
        <w:rPr>
          <w:sz w:val="24"/>
          <w:szCs w:val="24"/>
        </w:rPr>
        <w:t xml:space="preserve">to be </w:t>
      </w:r>
      <w:r w:rsidR="007453DE">
        <w:rPr>
          <w:sz w:val="24"/>
          <w:szCs w:val="24"/>
        </w:rPr>
        <w:t xml:space="preserve">more </w:t>
      </w:r>
      <w:r w:rsidR="00DB41D5" w:rsidRPr="002A61F8">
        <w:rPr>
          <w:sz w:val="24"/>
          <w:szCs w:val="24"/>
        </w:rPr>
        <w:t>cost reflective, utilize current technology, and adjust to changing customer behaviors</w:t>
      </w:r>
      <w:r w:rsidR="007453DE">
        <w:rPr>
          <w:sz w:val="24"/>
          <w:szCs w:val="24"/>
        </w:rPr>
        <w:t xml:space="preserve"> and preferences</w:t>
      </w:r>
      <w:r w:rsidR="00DB41D5">
        <w:rPr>
          <w:sz w:val="24"/>
          <w:szCs w:val="24"/>
        </w:rPr>
        <w:t xml:space="preserve">. To support these objectives, the Company </w:t>
      </w:r>
      <w:r w:rsidR="00931F9E">
        <w:rPr>
          <w:sz w:val="24"/>
          <w:szCs w:val="24"/>
        </w:rPr>
        <w:t>proposed the following changes:</w:t>
      </w:r>
    </w:p>
    <w:p w14:paraId="4F798C98" w14:textId="7F0BA0A7" w:rsidR="00931F9E" w:rsidRDefault="00931F9E" w:rsidP="00931F9E">
      <w:pPr>
        <w:pStyle w:val="ListParagraph"/>
        <w:widowControl/>
        <w:numPr>
          <w:ilvl w:val="0"/>
          <w:numId w:val="24"/>
        </w:numPr>
        <w:spacing w:line="360" w:lineRule="auto"/>
        <w:jc w:val="both"/>
        <w:rPr>
          <w:sz w:val="24"/>
          <w:szCs w:val="24"/>
        </w:rPr>
      </w:pPr>
      <w:r>
        <w:rPr>
          <w:sz w:val="24"/>
          <w:szCs w:val="24"/>
        </w:rPr>
        <w:t>I</w:t>
      </w:r>
      <w:r w:rsidR="00DB41D5" w:rsidRPr="002A61F8">
        <w:rPr>
          <w:sz w:val="24"/>
          <w:szCs w:val="24"/>
        </w:rPr>
        <w:t xml:space="preserve">mprove the design of its rates by </w:t>
      </w:r>
      <w:r w:rsidR="00E163E9">
        <w:rPr>
          <w:sz w:val="24"/>
          <w:szCs w:val="24"/>
        </w:rPr>
        <w:t>aligning</w:t>
      </w:r>
      <w:r w:rsidR="00E163E9" w:rsidRPr="002A61F8">
        <w:rPr>
          <w:sz w:val="24"/>
          <w:szCs w:val="24"/>
        </w:rPr>
        <w:t xml:space="preserve"> </w:t>
      </w:r>
      <w:r w:rsidR="00DB41D5" w:rsidRPr="002A61F8">
        <w:rPr>
          <w:sz w:val="24"/>
          <w:szCs w:val="24"/>
        </w:rPr>
        <w:t xml:space="preserve">the BSC to more closely </w:t>
      </w:r>
      <w:r w:rsidR="00E163E9">
        <w:rPr>
          <w:sz w:val="24"/>
          <w:szCs w:val="24"/>
        </w:rPr>
        <w:t>reflect</w:t>
      </w:r>
      <w:r w:rsidR="00DB41D5" w:rsidRPr="002A61F8">
        <w:rPr>
          <w:sz w:val="24"/>
          <w:szCs w:val="24"/>
        </w:rPr>
        <w:t xml:space="preserve"> the customer-related costs </w:t>
      </w:r>
      <w:r w:rsidR="003B1A77">
        <w:rPr>
          <w:sz w:val="24"/>
          <w:szCs w:val="24"/>
        </w:rPr>
        <w:t xml:space="preserve">identified in </w:t>
      </w:r>
      <w:r w:rsidR="00DB41D5" w:rsidRPr="002A61F8">
        <w:rPr>
          <w:sz w:val="24"/>
          <w:szCs w:val="24"/>
        </w:rPr>
        <w:t>the COSS</w:t>
      </w:r>
      <w:r w:rsidR="003B1A77">
        <w:rPr>
          <w:sz w:val="24"/>
          <w:szCs w:val="24"/>
        </w:rPr>
        <w:t>.</w:t>
      </w:r>
    </w:p>
    <w:p w14:paraId="3E1EB704" w14:textId="26E91480" w:rsidR="000B36B3" w:rsidRDefault="00931F9E" w:rsidP="00931F9E">
      <w:pPr>
        <w:pStyle w:val="ListParagraph"/>
        <w:widowControl/>
        <w:numPr>
          <w:ilvl w:val="0"/>
          <w:numId w:val="24"/>
        </w:numPr>
        <w:spacing w:line="360" w:lineRule="auto"/>
        <w:jc w:val="both"/>
        <w:rPr>
          <w:sz w:val="24"/>
          <w:szCs w:val="24"/>
        </w:rPr>
      </w:pPr>
      <w:r>
        <w:rPr>
          <w:sz w:val="24"/>
          <w:szCs w:val="24"/>
        </w:rPr>
        <w:t>Grow the number of</w:t>
      </w:r>
      <w:r w:rsidR="00DB41D5" w:rsidRPr="002A61F8">
        <w:rPr>
          <w:sz w:val="24"/>
          <w:szCs w:val="24"/>
        </w:rPr>
        <w:t xml:space="preserve"> customers </w:t>
      </w:r>
      <w:r>
        <w:rPr>
          <w:sz w:val="24"/>
          <w:szCs w:val="24"/>
        </w:rPr>
        <w:t>on</w:t>
      </w:r>
      <w:r w:rsidR="00DB41D5" w:rsidRPr="002A61F8">
        <w:rPr>
          <w:sz w:val="24"/>
          <w:szCs w:val="24"/>
        </w:rPr>
        <w:t xml:space="preserve"> more modern rates</w:t>
      </w:r>
      <w:r>
        <w:rPr>
          <w:sz w:val="24"/>
          <w:szCs w:val="24"/>
        </w:rPr>
        <w:t xml:space="preserve"> in </w:t>
      </w:r>
      <w:r w:rsidR="003B1A77">
        <w:rPr>
          <w:sz w:val="24"/>
          <w:szCs w:val="24"/>
        </w:rPr>
        <w:t>the Company’s</w:t>
      </w:r>
      <w:r>
        <w:rPr>
          <w:sz w:val="24"/>
          <w:szCs w:val="24"/>
        </w:rPr>
        <w:t xml:space="preserve"> portfolio</w:t>
      </w:r>
      <w:r w:rsidR="00DB41D5" w:rsidRPr="002A61F8">
        <w:rPr>
          <w:sz w:val="24"/>
          <w:szCs w:val="24"/>
        </w:rPr>
        <w:t xml:space="preserve"> that send price signals that more appropriately reflect costs</w:t>
      </w:r>
      <w:r w:rsidR="003B1A77">
        <w:rPr>
          <w:sz w:val="24"/>
          <w:szCs w:val="24"/>
        </w:rPr>
        <w:t>.</w:t>
      </w:r>
    </w:p>
    <w:p w14:paraId="473B83DD" w14:textId="67EEBEDA" w:rsidR="00931F9E" w:rsidRDefault="00931F9E" w:rsidP="002A61F8">
      <w:pPr>
        <w:pStyle w:val="ListParagraph"/>
        <w:widowControl/>
        <w:numPr>
          <w:ilvl w:val="0"/>
          <w:numId w:val="24"/>
        </w:numPr>
        <w:spacing w:line="360" w:lineRule="auto"/>
        <w:jc w:val="both"/>
        <w:rPr>
          <w:sz w:val="24"/>
          <w:szCs w:val="24"/>
        </w:rPr>
      </w:pPr>
      <w:r>
        <w:rPr>
          <w:sz w:val="24"/>
          <w:szCs w:val="24"/>
        </w:rPr>
        <w:t xml:space="preserve">Introduce new rate offerings </w:t>
      </w:r>
      <w:r w:rsidR="003B1A77">
        <w:rPr>
          <w:sz w:val="24"/>
          <w:szCs w:val="24"/>
        </w:rPr>
        <w:t>to</w:t>
      </w:r>
      <w:r>
        <w:rPr>
          <w:sz w:val="24"/>
          <w:szCs w:val="24"/>
        </w:rPr>
        <w:t xml:space="preserve"> expand the </w:t>
      </w:r>
      <w:r w:rsidR="003B1A77">
        <w:rPr>
          <w:sz w:val="24"/>
          <w:szCs w:val="24"/>
        </w:rPr>
        <w:t xml:space="preserve">rate </w:t>
      </w:r>
      <w:r>
        <w:rPr>
          <w:sz w:val="24"/>
          <w:szCs w:val="24"/>
        </w:rPr>
        <w:t xml:space="preserve">choices </w:t>
      </w:r>
      <w:r w:rsidR="003B1A77">
        <w:rPr>
          <w:sz w:val="24"/>
          <w:szCs w:val="24"/>
        </w:rPr>
        <w:t>available to</w:t>
      </w:r>
      <w:r>
        <w:rPr>
          <w:sz w:val="24"/>
          <w:szCs w:val="24"/>
        </w:rPr>
        <w:t xml:space="preserve"> customers</w:t>
      </w:r>
      <w:r w:rsidR="003B1A77">
        <w:rPr>
          <w:sz w:val="24"/>
          <w:szCs w:val="24"/>
        </w:rPr>
        <w:t>.</w:t>
      </w:r>
    </w:p>
    <w:p w14:paraId="5BD01FB6" w14:textId="77777777" w:rsidR="001412EE" w:rsidRDefault="001412EE" w:rsidP="001412EE">
      <w:pPr>
        <w:widowControl/>
        <w:spacing w:line="360" w:lineRule="auto"/>
        <w:jc w:val="both"/>
        <w:rPr>
          <w:sz w:val="24"/>
          <w:szCs w:val="24"/>
        </w:rPr>
      </w:pPr>
    </w:p>
    <w:p w14:paraId="5A5D81C0" w14:textId="77777777" w:rsidR="001412EE" w:rsidRPr="007246EF" w:rsidRDefault="001412EE" w:rsidP="001412EE">
      <w:pPr>
        <w:widowControl/>
        <w:spacing w:line="360" w:lineRule="auto"/>
        <w:jc w:val="both"/>
        <w:rPr>
          <w:b/>
          <w:sz w:val="24"/>
          <w:szCs w:val="24"/>
        </w:rPr>
      </w:pPr>
      <w:r w:rsidRPr="007246EF">
        <w:rPr>
          <w:b/>
          <w:sz w:val="24"/>
          <w:szCs w:val="24"/>
        </w:rPr>
        <w:t>Q.</w:t>
      </w:r>
      <w:r w:rsidRPr="007246EF">
        <w:rPr>
          <w:b/>
          <w:sz w:val="24"/>
          <w:szCs w:val="24"/>
        </w:rPr>
        <w:tab/>
        <w:t xml:space="preserve">DOES PIA STAFF </w:t>
      </w:r>
      <w:r>
        <w:rPr>
          <w:b/>
          <w:sz w:val="24"/>
          <w:szCs w:val="24"/>
        </w:rPr>
        <w:t xml:space="preserve">AGREE </w:t>
      </w:r>
      <w:r w:rsidRPr="007246EF">
        <w:rPr>
          <w:b/>
          <w:sz w:val="24"/>
          <w:szCs w:val="24"/>
        </w:rPr>
        <w:t>WITH MODERNIZING RATES?</w:t>
      </w:r>
    </w:p>
    <w:p w14:paraId="50478D86" w14:textId="26EA66A2" w:rsidR="001412EE" w:rsidRDefault="001412EE" w:rsidP="001412EE">
      <w:pPr>
        <w:widowControl/>
        <w:spacing w:line="360" w:lineRule="auto"/>
        <w:ind w:left="720" w:hanging="720"/>
        <w:jc w:val="both"/>
        <w:rPr>
          <w:sz w:val="24"/>
          <w:szCs w:val="24"/>
        </w:rPr>
      </w:pPr>
      <w:r>
        <w:rPr>
          <w:sz w:val="24"/>
          <w:szCs w:val="24"/>
        </w:rPr>
        <w:t>A.</w:t>
      </w:r>
      <w:r>
        <w:rPr>
          <w:sz w:val="24"/>
          <w:szCs w:val="24"/>
        </w:rPr>
        <w:tab/>
        <w:t xml:space="preserve">Yes. </w:t>
      </w:r>
      <w:r w:rsidR="0018130A">
        <w:rPr>
          <w:sz w:val="24"/>
          <w:szCs w:val="24"/>
        </w:rPr>
        <w:t xml:space="preserve">PIA </w:t>
      </w:r>
      <w:r>
        <w:rPr>
          <w:sz w:val="24"/>
          <w:szCs w:val="24"/>
        </w:rPr>
        <w:t>Staff “</w:t>
      </w:r>
      <w:r w:rsidRPr="000B10A9">
        <w:rPr>
          <w:sz w:val="24"/>
          <w:szCs w:val="24"/>
        </w:rPr>
        <w:t xml:space="preserve">supports </w:t>
      </w:r>
      <w:r w:rsidRPr="00931F9E">
        <w:rPr>
          <w:sz w:val="24"/>
          <w:szCs w:val="24"/>
        </w:rPr>
        <w:t>marketing and education to</w:t>
      </w:r>
      <w:r w:rsidRPr="000B10A9">
        <w:rPr>
          <w:sz w:val="24"/>
          <w:szCs w:val="24"/>
        </w:rPr>
        <w:t xml:space="preserve"> grow customer adoption of modern rates in the Georgia Power service territory to encourage customers to choose rates that can both benefit customers and the economic usage of the Georgia Power system.</w:t>
      </w:r>
      <w:r>
        <w:rPr>
          <w:sz w:val="24"/>
          <w:szCs w:val="24"/>
        </w:rPr>
        <w:t>” (</w:t>
      </w:r>
      <w:r w:rsidR="00061F01">
        <w:rPr>
          <w:sz w:val="24"/>
          <w:szCs w:val="24"/>
        </w:rPr>
        <w:t>Tr. 1721</w:t>
      </w:r>
      <w:r>
        <w:rPr>
          <w:sz w:val="24"/>
          <w:szCs w:val="24"/>
        </w:rPr>
        <w:t xml:space="preserve">.) PIA Staff agrees with </w:t>
      </w:r>
      <w:r w:rsidR="0018130A">
        <w:rPr>
          <w:sz w:val="24"/>
          <w:szCs w:val="24"/>
        </w:rPr>
        <w:t>the Company’s</w:t>
      </w:r>
      <w:r>
        <w:rPr>
          <w:sz w:val="24"/>
          <w:szCs w:val="24"/>
        </w:rPr>
        <w:t xml:space="preserve"> recommendations to ease customers</w:t>
      </w:r>
      <w:r w:rsidR="007F452A">
        <w:rPr>
          <w:sz w:val="24"/>
          <w:szCs w:val="24"/>
        </w:rPr>
        <w:t>’</w:t>
      </w:r>
      <w:r>
        <w:rPr>
          <w:sz w:val="24"/>
          <w:szCs w:val="24"/>
        </w:rPr>
        <w:t xml:space="preserve"> transition to modern rates and argues that the Company should be as aggressive in marketing its </w:t>
      </w:r>
      <w:r w:rsidR="0018130A">
        <w:rPr>
          <w:sz w:val="24"/>
          <w:szCs w:val="24"/>
        </w:rPr>
        <w:t xml:space="preserve">other </w:t>
      </w:r>
      <w:r>
        <w:rPr>
          <w:sz w:val="24"/>
          <w:szCs w:val="24"/>
        </w:rPr>
        <w:t>rate</w:t>
      </w:r>
      <w:r w:rsidR="0018130A">
        <w:rPr>
          <w:sz w:val="24"/>
          <w:szCs w:val="24"/>
        </w:rPr>
        <w:t xml:space="preserve"> option</w:t>
      </w:r>
      <w:r>
        <w:rPr>
          <w:sz w:val="24"/>
          <w:szCs w:val="24"/>
        </w:rPr>
        <w:t>s as it does in marketing its FlatBill program.</w:t>
      </w:r>
    </w:p>
    <w:p w14:paraId="71CF94E3" w14:textId="5D38C26E" w:rsidR="005711DF" w:rsidRDefault="005711DF" w:rsidP="001412EE">
      <w:pPr>
        <w:widowControl/>
        <w:spacing w:line="360" w:lineRule="auto"/>
        <w:ind w:left="720" w:hanging="720"/>
        <w:jc w:val="both"/>
        <w:rPr>
          <w:sz w:val="24"/>
          <w:szCs w:val="24"/>
        </w:rPr>
      </w:pPr>
    </w:p>
    <w:p w14:paraId="12FD6E89" w14:textId="77777777" w:rsidR="005711DF" w:rsidRDefault="005711DF" w:rsidP="005711DF">
      <w:pPr>
        <w:widowControl/>
        <w:tabs>
          <w:tab w:val="left" w:pos="3600"/>
        </w:tabs>
        <w:spacing w:line="360" w:lineRule="auto"/>
        <w:ind w:left="720" w:hanging="720"/>
        <w:jc w:val="both"/>
        <w:rPr>
          <w:b/>
          <w:sz w:val="24"/>
          <w:szCs w:val="24"/>
        </w:rPr>
      </w:pPr>
      <w:r w:rsidRPr="00706514">
        <w:rPr>
          <w:b/>
          <w:sz w:val="24"/>
          <w:szCs w:val="24"/>
        </w:rPr>
        <w:t>Q.</w:t>
      </w:r>
      <w:r w:rsidRPr="00706514">
        <w:rPr>
          <w:b/>
          <w:sz w:val="24"/>
          <w:szCs w:val="24"/>
        </w:rPr>
        <w:tab/>
      </w:r>
      <w:r>
        <w:rPr>
          <w:b/>
          <w:sz w:val="24"/>
          <w:szCs w:val="24"/>
        </w:rPr>
        <w:t>DOES THE COMPANY SUPPORT THE RECOMMENDATION BY GIPL/SOUTHFACE/VOTE SOLAR TO PROVIDE CUSTOMER GUARANTEES FROM HIGHER BILLS WHEN SWITCHING TO MORE MODERN RATES?</w:t>
      </w:r>
    </w:p>
    <w:p w14:paraId="09C220B8" w14:textId="4B683691" w:rsidR="005711DF" w:rsidRDefault="005711DF" w:rsidP="003B1A77">
      <w:pPr>
        <w:widowControl/>
        <w:tabs>
          <w:tab w:val="left" w:pos="3600"/>
        </w:tabs>
        <w:spacing w:line="360" w:lineRule="auto"/>
        <w:ind w:left="720" w:hanging="720"/>
        <w:jc w:val="both"/>
        <w:rPr>
          <w:sz w:val="24"/>
          <w:szCs w:val="24"/>
        </w:rPr>
      </w:pPr>
      <w:r>
        <w:rPr>
          <w:sz w:val="24"/>
          <w:szCs w:val="24"/>
        </w:rPr>
        <w:t>A.</w:t>
      </w:r>
      <w:r>
        <w:rPr>
          <w:sz w:val="24"/>
          <w:szCs w:val="24"/>
        </w:rPr>
        <w:tab/>
        <w:t>No</w:t>
      </w:r>
      <w:r w:rsidR="0018130A">
        <w:rPr>
          <w:sz w:val="24"/>
          <w:szCs w:val="24"/>
        </w:rPr>
        <w:t>.</w:t>
      </w:r>
      <w:r>
        <w:rPr>
          <w:sz w:val="24"/>
          <w:szCs w:val="24"/>
        </w:rPr>
        <w:t xml:space="preserve"> </w:t>
      </w:r>
      <w:r w:rsidR="0018130A">
        <w:rPr>
          <w:sz w:val="24"/>
          <w:szCs w:val="24"/>
        </w:rPr>
        <w:t>T</w:t>
      </w:r>
      <w:r>
        <w:rPr>
          <w:sz w:val="24"/>
          <w:szCs w:val="24"/>
        </w:rPr>
        <w:t xml:space="preserve">he Company does not support </w:t>
      </w:r>
      <w:r w:rsidR="003B1A77">
        <w:rPr>
          <w:sz w:val="24"/>
          <w:szCs w:val="24"/>
        </w:rPr>
        <w:t>a</w:t>
      </w:r>
      <w:r>
        <w:rPr>
          <w:sz w:val="24"/>
          <w:szCs w:val="24"/>
        </w:rPr>
        <w:t xml:space="preserve"> one-year bill guarantee that was recommended by GIPL/</w:t>
      </w:r>
      <w:r w:rsidR="003B1A77">
        <w:rPr>
          <w:sz w:val="24"/>
          <w:szCs w:val="24"/>
        </w:rPr>
        <w:t>Southface</w:t>
      </w:r>
      <w:r>
        <w:rPr>
          <w:sz w:val="24"/>
          <w:szCs w:val="24"/>
        </w:rPr>
        <w:t>/</w:t>
      </w:r>
      <w:r w:rsidR="003B1A77">
        <w:rPr>
          <w:sz w:val="24"/>
          <w:szCs w:val="24"/>
        </w:rPr>
        <w:t>Vote Solar</w:t>
      </w:r>
      <w:r>
        <w:rPr>
          <w:sz w:val="24"/>
          <w:szCs w:val="24"/>
        </w:rPr>
        <w:t xml:space="preserve">. This </w:t>
      </w:r>
      <w:r w:rsidR="00634810">
        <w:rPr>
          <w:sz w:val="24"/>
          <w:szCs w:val="24"/>
        </w:rPr>
        <w:t xml:space="preserve">would likely </w:t>
      </w:r>
      <w:r>
        <w:rPr>
          <w:sz w:val="24"/>
          <w:szCs w:val="24"/>
        </w:rPr>
        <w:t xml:space="preserve">create revenue erosion which would put upward pressure on all rates. In addition, </w:t>
      </w:r>
      <w:r w:rsidR="005A5C40">
        <w:rPr>
          <w:sz w:val="24"/>
          <w:szCs w:val="24"/>
        </w:rPr>
        <w:t>it</w:t>
      </w:r>
      <w:r>
        <w:rPr>
          <w:sz w:val="24"/>
          <w:szCs w:val="24"/>
        </w:rPr>
        <w:t xml:space="preserve"> would </w:t>
      </w:r>
      <w:r w:rsidR="0018130A">
        <w:rPr>
          <w:sz w:val="24"/>
          <w:szCs w:val="24"/>
        </w:rPr>
        <w:t xml:space="preserve">put </w:t>
      </w:r>
      <w:r>
        <w:rPr>
          <w:sz w:val="24"/>
          <w:szCs w:val="24"/>
        </w:rPr>
        <w:t>a</w:t>
      </w:r>
      <w:r w:rsidR="0018130A">
        <w:rPr>
          <w:sz w:val="24"/>
          <w:szCs w:val="24"/>
        </w:rPr>
        <w:t xml:space="preserve"> significant</w:t>
      </w:r>
      <w:r>
        <w:rPr>
          <w:sz w:val="24"/>
          <w:szCs w:val="24"/>
        </w:rPr>
        <w:t xml:space="preserve"> administrative burden on the Company’s customer service</w:t>
      </w:r>
      <w:r w:rsidR="003B1A77">
        <w:rPr>
          <w:sz w:val="24"/>
          <w:szCs w:val="24"/>
        </w:rPr>
        <w:t xml:space="preserve"> organization</w:t>
      </w:r>
      <w:r>
        <w:rPr>
          <w:sz w:val="24"/>
          <w:szCs w:val="24"/>
        </w:rPr>
        <w:t xml:space="preserve"> and would require additional costs to support</w:t>
      </w:r>
      <w:r w:rsidR="003B1A77">
        <w:rPr>
          <w:sz w:val="24"/>
          <w:szCs w:val="24"/>
        </w:rPr>
        <w:t xml:space="preserve"> this level of tracking</w:t>
      </w:r>
      <w:r>
        <w:rPr>
          <w:sz w:val="24"/>
          <w:szCs w:val="24"/>
        </w:rPr>
        <w:t>. This</w:t>
      </w:r>
      <w:r w:rsidR="00AF5AD9">
        <w:rPr>
          <w:sz w:val="24"/>
          <w:szCs w:val="24"/>
        </w:rPr>
        <w:t>,</w:t>
      </w:r>
      <w:r w:rsidR="003B1A77">
        <w:rPr>
          <w:sz w:val="24"/>
          <w:szCs w:val="24"/>
        </w:rPr>
        <w:t xml:space="preserve"> too</w:t>
      </w:r>
      <w:r w:rsidR="00AF5AD9">
        <w:rPr>
          <w:sz w:val="24"/>
          <w:szCs w:val="24"/>
        </w:rPr>
        <w:t>,</w:t>
      </w:r>
      <w:r>
        <w:rPr>
          <w:sz w:val="24"/>
          <w:szCs w:val="24"/>
        </w:rPr>
        <w:t xml:space="preserve"> would </w:t>
      </w:r>
      <w:r w:rsidR="003B1A77">
        <w:rPr>
          <w:sz w:val="24"/>
          <w:szCs w:val="24"/>
        </w:rPr>
        <w:t xml:space="preserve">create </w:t>
      </w:r>
      <w:r>
        <w:rPr>
          <w:sz w:val="24"/>
          <w:szCs w:val="24"/>
        </w:rPr>
        <w:t xml:space="preserve">upward pressure on all rates. </w:t>
      </w:r>
      <w:r w:rsidR="005817D1">
        <w:rPr>
          <w:sz w:val="24"/>
          <w:szCs w:val="24"/>
        </w:rPr>
        <w:t xml:space="preserve">Finally, providing a guarantee to customers removes any and all incentive to pay attention to and respond to price signals. As a result, these guarantees </w:t>
      </w:r>
      <w:r w:rsidR="00E46C7A">
        <w:rPr>
          <w:sz w:val="24"/>
          <w:szCs w:val="24"/>
        </w:rPr>
        <w:t>may</w:t>
      </w:r>
      <w:r w:rsidR="0018130A">
        <w:rPr>
          <w:sz w:val="24"/>
          <w:szCs w:val="24"/>
        </w:rPr>
        <w:t xml:space="preserve"> not </w:t>
      </w:r>
      <w:r w:rsidR="005817D1">
        <w:rPr>
          <w:sz w:val="24"/>
          <w:szCs w:val="24"/>
        </w:rPr>
        <w:t>produce the results or behaviors expected by customers on modern rates.</w:t>
      </w:r>
    </w:p>
    <w:p w14:paraId="640D214C" w14:textId="77777777" w:rsidR="001412EE" w:rsidRDefault="001412EE" w:rsidP="001412EE">
      <w:pPr>
        <w:widowControl/>
        <w:spacing w:line="360" w:lineRule="auto"/>
        <w:ind w:left="720" w:hanging="720"/>
        <w:jc w:val="both"/>
        <w:rPr>
          <w:sz w:val="24"/>
          <w:szCs w:val="24"/>
        </w:rPr>
      </w:pPr>
    </w:p>
    <w:p w14:paraId="66C355B8" w14:textId="14BD683E" w:rsidR="001412EE" w:rsidRPr="000D3EF8" w:rsidRDefault="001412EE" w:rsidP="001412EE">
      <w:pPr>
        <w:widowControl/>
        <w:spacing w:line="360" w:lineRule="auto"/>
        <w:ind w:left="720" w:hanging="720"/>
        <w:jc w:val="both"/>
        <w:rPr>
          <w:b/>
          <w:sz w:val="24"/>
          <w:szCs w:val="24"/>
        </w:rPr>
      </w:pPr>
      <w:r w:rsidRPr="000D3EF8">
        <w:rPr>
          <w:b/>
          <w:sz w:val="24"/>
          <w:szCs w:val="24"/>
        </w:rPr>
        <w:t>Q.</w:t>
      </w:r>
      <w:r w:rsidRPr="000D3EF8">
        <w:rPr>
          <w:b/>
          <w:sz w:val="24"/>
          <w:szCs w:val="24"/>
        </w:rPr>
        <w:tab/>
        <w:t xml:space="preserve">IS THE LOW CUSTOMER PARTICIPATION TO DATE IN THE COMPANY’S </w:t>
      </w:r>
      <w:r w:rsidR="00454778">
        <w:rPr>
          <w:b/>
          <w:sz w:val="24"/>
          <w:szCs w:val="24"/>
        </w:rPr>
        <w:t>TIME OF USE (“TO</w:t>
      </w:r>
      <w:r w:rsidRPr="000D3EF8">
        <w:rPr>
          <w:b/>
          <w:sz w:val="24"/>
          <w:szCs w:val="24"/>
        </w:rPr>
        <w:t>U</w:t>
      </w:r>
      <w:r w:rsidR="00454778">
        <w:rPr>
          <w:b/>
          <w:sz w:val="24"/>
          <w:szCs w:val="24"/>
        </w:rPr>
        <w:t>”)</w:t>
      </w:r>
      <w:r w:rsidRPr="000D3EF8">
        <w:rPr>
          <w:b/>
          <w:sz w:val="24"/>
          <w:szCs w:val="24"/>
        </w:rPr>
        <w:t xml:space="preserve"> RATES NECESSARILY A REFLECTION OF POOR MARKETING OR EDUCATION INITIATIVES?</w:t>
      </w:r>
    </w:p>
    <w:p w14:paraId="6EBC705F" w14:textId="0EDC4540" w:rsidR="001412EE" w:rsidRPr="002C24AC" w:rsidRDefault="001412EE" w:rsidP="001412EE">
      <w:pPr>
        <w:widowControl/>
        <w:spacing w:line="360" w:lineRule="auto"/>
        <w:ind w:left="720" w:hanging="720"/>
        <w:jc w:val="both"/>
        <w:rPr>
          <w:sz w:val="24"/>
          <w:szCs w:val="24"/>
        </w:rPr>
      </w:pPr>
      <w:r>
        <w:rPr>
          <w:sz w:val="24"/>
          <w:szCs w:val="24"/>
        </w:rPr>
        <w:t>A.</w:t>
      </w:r>
      <w:r>
        <w:rPr>
          <w:sz w:val="24"/>
          <w:szCs w:val="24"/>
        </w:rPr>
        <w:tab/>
        <w:t xml:space="preserve">No. </w:t>
      </w:r>
      <w:r w:rsidR="006578E8">
        <w:rPr>
          <w:sz w:val="24"/>
          <w:szCs w:val="24"/>
        </w:rPr>
        <w:t xml:space="preserve">Please see the response to data request STF-PIA-7-6 for a more thorough explanation, but generally the primary </w:t>
      </w:r>
      <w:r w:rsidR="00FA6F1D">
        <w:rPr>
          <w:sz w:val="24"/>
          <w:szCs w:val="24"/>
        </w:rPr>
        <w:t xml:space="preserve">reason </w:t>
      </w:r>
      <w:r w:rsidR="006578E8">
        <w:rPr>
          <w:sz w:val="24"/>
          <w:szCs w:val="24"/>
        </w:rPr>
        <w:t xml:space="preserve">for the low participation </w:t>
      </w:r>
      <w:r w:rsidR="00634810">
        <w:rPr>
          <w:sz w:val="24"/>
          <w:szCs w:val="24"/>
        </w:rPr>
        <w:t>on</w:t>
      </w:r>
      <w:r w:rsidR="00FA6F1D">
        <w:rPr>
          <w:sz w:val="24"/>
          <w:szCs w:val="24"/>
        </w:rPr>
        <w:t xml:space="preserve"> TOU rates </w:t>
      </w:r>
      <w:r w:rsidR="006578E8">
        <w:rPr>
          <w:sz w:val="24"/>
          <w:szCs w:val="24"/>
        </w:rPr>
        <w:t xml:space="preserve">is that customers are typically enrolled on the </w:t>
      </w:r>
      <w:r w:rsidR="00B26EE7">
        <w:rPr>
          <w:sz w:val="24"/>
          <w:szCs w:val="24"/>
        </w:rPr>
        <w:t>‘</w:t>
      </w:r>
      <w:r w:rsidR="006578E8" w:rsidRPr="00B26EE7">
        <w:rPr>
          <w:sz w:val="24"/>
          <w:szCs w:val="24"/>
        </w:rPr>
        <w:t>R</w:t>
      </w:r>
      <w:r w:rsidR="00B26EE7">
        <w:rPr>
          <w:sz w:val="24"/>
          <w:szCs w:val="24"/>
        </w:rPr>
        <w:t>’</w:t>
      </w:r>
      <w:r w:rsidR="006578E8">
        <w:rPr>
          <w:sz w:val="24"/>
          <w:szCs w:val="24"/>
        </w:rPr>
        <w:t xml:space="preserve"> </w:t>
      </w:r>
      <w:r w:rsidR="00B26EE7">
        <w:rPr>
          <w:sz w:val="24"/>
          <w:szCs w:val="24"/>
        </w:rPr>
        <w:t>R</w:t>
      </w:r>
      <w:r w:rsidR="006578E8">
        <w:rPr>
          <w:sz w:val="24"/>
          <w:szCs w:val="24"/>
        </w:rPr>
        <w:t xml:space="preserve">ate when they establish service. From that point, there are very few engagements where the customer may inquire about rate options and customers tend to </w:t>
      </w:r>
      <w:r w:rsidR="00CB3BDD">
        <w:rPr>
          <w:sz w:val="24"/>
          <w:szCs w:val="24"/>
        </w:rPr>
        <w:t xml:space="preserve">be reluctant to change </w:t>
      </w:r>
      <w:r w:rsidR="00CB3BDD" w:rsidRPr="003B1A77">
        <w:rPr>
          <w:sz w:val="24"/>
          <w:szCs w:val="24"/>
        </w:rPr>
        <w:t xml:space="preserve">rates without a </w:t>
      </w:r>
      <w:r w:rsidR="005817D1">
        <w:rPr>
          <w:sz w:val="24"/>
          <w:szCs w:val="24"/>
        </w:rPr>
        <w:t>promise</w:t>
      </w:r>
      <w:r w:rsidR="005817D1" w:rsidRPr="003B1A77">
        <w:rPr>
          <w:sz w:val="24"/>
          <w:szCs w:val="24"/>
        </w:rPr>
        <w:t xml:space="preserve"> </w:t>
      </w:r>
      <w:r w:rsidR="00CB3BDD" w:rsidRPr="003B1A77">
        <w:rPr>
          <w:sz w:val="24"/>
          <w:szCs w:val="24"/>
        </w:rPr>
        <w:t>of substantial savings.</w:t>
      </w:r>
      <w:r w:rsidRPr="003B1A77">
        <w:rPr>
          <w:sz w:val="24"/>
          <w:szCs w:val="24"/>
        </w:rPr>
        <w:t xml:space="preserve"> </w:t>
      </w:r>
      <w:r w:rsidR="006578E8" w:rsidRPr="003B1A77">
        <w:rPr>
          <w:sz w:val="24"/>
          <w:szCs w:val="24"/>
        </w:rPr>
        <w:t>Additionally</w:t>
      </w:r>
      <w:r w:rsidR="006578E8">
        <w:rPr>
          <w:sz w:val="24"/>
          <w:szCs w:val="24"/>
        </w:rPr>
        <w:t xml:space="preserve">, </w:t>
      </w:r>
      <w:r>
        <w:rPr>
          <w:sz w:val="24"/>
          <w:szCs w:val="24"/>
        </w:rPr>
        <w:t xml:space="preserve">the Company’s </w:t>
      </w:r>
      <w:r w:rsidR="00393B10">
        <w:rPr>
          <w:sz w:val="24"/>
          <w:szCs w:val="24"/>
        </w:rPr>
        <w:t>success in keeping</w:t>
      </w:r>
      <w:r>
        <w:rPr>
          <w:sz w:val="24"/>
          <w:szCs w:val="24"/>
        </w:rPr>
        <w:t xml:space="preserve"> rates low has not driven customers to seek out alternative rate options based on cost alone.  </w:t>
      </w:r>
    </w:p>
    <w:p w14:paraId="4E2FE85E" w14:textId="77777777" w:rsidR="001412EE" w:rsidRDefault="001412EE" w:rsidP="001412EE">
      <w:pPr>
        <w:widowControl/>
        <w:spacing w:line="360" w:lineRule="auto"/>
        <w:jc w:val="both"/>
        <w:rPr>
          <w:sz w:val="24"/>
          <w:szCs w:val="24"/>
        </w:rPr>
      </w:pPr>
    </w:p>
    <w:p w14:paraId="1EF241BB" w14:textId="62E83269" w:rsidR="001412EE" w:rsidRPr="007246EF" w:rsidRDefault="001412EE" w:rsidP="001412EE">
      <w:pPr>
        <w:widowControl/>
        <w:spacing w:line="360" w:lineRule="auto"/>
        <w:ind w:left="720" w:hanging="720"/>
        <w:jc w:val="both"/>
        <w:rPr>
          <w:b/>
          <w:sz w:val="24"/>
          <w:szCs w:val="24"/>
        </w:rPr>
      </w:pPr>
      <w:r w:rsidRPr="007246EF">
        <w:rPr>
          <w:b/>
          <w:sz w:val="24"/>
          <w:szCs w:val="24"/>
        </w:rPr>
        <w:t xml:space="preserve">Q. </w:t>
      </w:r>
      <w:r w:rsidRPr="007246EF">
        <w:rPr>
          <w:b/>
          <w:sz w:val="24"/>
          <w:szCs w:val="24"/>
        </w:rPr>
        <w:tab/>
        <w:t>WHY ARE THREE</w:t>
      </w:r>
      <w:r>
        <w:rPr>
          <w:b/>
          <w:sz w:val="24"/>
          <w:szCs w:val="24"/>
        </w:rPr>
        <w:t>-</w:t>
      </w:r>
      <w:r w:rsidRPr="007246EF">
        <w:rPr>
          <w:b/>
          <w:sz w:val="24"/>
          <w:szCs w:val="24"/>
        </w:rPr>
        <w:t>PART RATES THE MOST COST-REFLECTIVE RATES?</w:t>
      </w:r>
      <w:r w:rsidR="000B36B3">
        <w:rPr>
          <w:b/>
          <w:sz w:val="24"/>
          <w:szCs w:val="24"/>
        </w:rPr>
        <w:t xml:space="preserve"> </w:t>
      </w:r>
    </w:p>
    <w:p w14:paraId="2BDD114E" w14:textId="3A52C538"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A77A44" w:rsidRPr="00A77A44">
        <w:rPr>
          <w:sz w:val="24"/>
          <w:szCs w:val="24"/>
        </w:rPr>
        <w:t xml:space="preserve">Costs in the </w:t>
      </w:r>
      <w:r w:rsidR="003B1A77">
        <w:rPr>
          <w:sz w:val="24"/>
          <w:szCs w:val="24"/>
        </w:rPr>
        <w:t>COSS</w:t>
      </w:r>
      <w:r w:rsidR="00A77A44" w:rsidRPr="00A77A44">
        <w:rPr>
          <w:sz w:val="24"/>
          <w:szCs w:val="24"/>
        </w:rPr>
        <w:t xml:space="preserve"> are allocated by customer, demand and energy. To </w:t>
      </w:r>
      <w:r w:rsidR="005817D1">
        <w:rPr>
          <w:sz w:val="24"/>
          <w:szCs w:val="24"/>
        </w:rPr>
        <w:t>most</w:t>
      </w:r>
      <w:r w:rsidR="005817D1" w:rsidRPr="00A77A44">
        <w:rPr>
          <w:sz w:val="24"/>
          <w:szCs w:val="24"/>
        </w:rPr>
        <w:t xml:space="preserve"> </w:t>
      </w:r>
      <w:r w:rsidR="00A77A44" w:rsidRPr="00A77A44">
        <w:rPr>
          <w:sz w:val="24"/>
          <w:szCs w:val="24"/>
        </w:rPr>
        <w:t>accurately reflect and align costs in prices</w:t>
      </w:r>
      <w:r w:rsidR="005817D1">
        <w:rPr>
          <w:sz w:val="24"/>
          <w:szCs w:val="24"/>
        </w:rPr>
        <w:t>,</w:t>
      </w:r>
      <w:r w:rsidR="00A77A44" w:rsidRPr="00A77A44">
        <w:rPr>
          <w:sz w:val="24"/>
          <w:szCs w:val="24"/>
        </w:rPr>
        <w:t xml:space="preserve"> </w:t>
      </w:r>
      <w:r w:rsidR="007572B0">
        <w:rPr>
          <w:sz w:val="24"/>
          <w:szCs w:val="24"/>
        </w:rPr>
        <w:t xml:space="preserve">all cost components should be accounted for </w:t>
      </w:r>
      <w:r w:rsidR="007572B0" w:rsidRPr="00A77A44">
        <w:rPr>
          <w:sz w:val="24"/>
          <w:szCs w:val="24"/>
        </w:rPr>
        <w:t xml:space="preserve">in the rate design. </w:t>
      </w:r>
      <w:r w:rsidR="00393B10" w:rsidRPr="00A77A44">
        <w:rPr>
          <w:sz w:val="24"/>
          <w:szCs w:val="24"/>
        </w:rPr>
        <w:t xml:space="preserve">When the demand </w:t>
      </w:r>
      <w:r w:rsidR="00393B10">
        <w:rPr>
          <w:sz w:val="24"/>
          <w:szCs w:val="24"/>
        </w:rPr>
        <w:t>component is left out,</w:t>
      </w:r>
      <w:r w:rsidR="00393B10" w:rsidRPr="00A77A44">
        <w:rPr>
          <w:sz w:val="24"/>
          <w:szCs w:val="24"/>
        </w:rPr>
        <w:t xml:space="preserve"> </w:t>
      </w:r>
      <w:r w:rsidR="00393B10">
        <w:rPr>
          <w:sz w:val="24"/>
          <w:szCs w:val="24"/>
        </w:rPr>
        <w:t xml:space="preserve">demand-related </w:t>
      </w:r>
      <w:r w:rsidR="00393B10" w:rsidRPr="00A77A44">
        <w:rPr>
          <w:sz w:val="24"/>
          <w:szCs w:val="24"/>
        </w:rPr>
        <w:t xml:space="preserve">costs </w:t>
      </w:r>
      <w:r w:rsidR="00393B10">
        <w:rPr>
          <w:sz w:val="24"/>
          <w:szCs w:val="24"/>
        </w:rPr>
        <w:t xml:space="preserve">must be recovered from </w:t>
      </w:r>
      <w:r w:rsidR="00634810">
        <w:rPr>
          <w:sz w:val="24"/>
          <w:szCs w:val="24"/>
        </w:rPr>
        <w:t>the</w:t>
      </w:r>
      <w:r w:rsidR="00393B10" w:rsidRPr="00A77A44">
        <w:rPr>
          <w:sz w:val="24"/>
          <w:szCs w:val="24"/>
        </w:rPr>
        <w:t xml:space="preserve"> </w:t>
      </w:r>
      <w:r w:rsidR="00393B10">
        <w:rPr>
          <w:sz w:val="24"/>
          <w:szCs w:val="24"/>
        </w:rPr>
        <w:t>energy component, creating a mismatch where the collection of revenues is</w:t>
      </w:r>
      <w:r w:rsidR="00393B10" w:rsidRPr="00A77A44">
        <w:rPr>
          <w:sz w:val="24"/>
          <w:szCs w:val="24"/>
        </w:rPr>
        <w:t xml:space="preserve"> not in line with how the utility incurs costs.</w:t>
      </w:r>
    </w:p>
    <w:p w14:paraId="5AEDB5E6" w14:textId="77777777" w:rsidR="001412EE" w:rsidRDefault="001412EE" w:rsidP="001412EE">
      <w:pPr>
        <w:widowControl/>
        <w:spacing w:line="360" w:lineRule="auto"/>
        <w:ind w:left="720" w:hanging="720"/>
        <w:jc w:val="both"/>
        <w:rPr>
          <w:sz w:val="24"/>
          <w:szCs w:val="24"/>
        </w:rPr>
      </w:pPr>
    </w:p>
    <w:p w14:paraId="6C682D37" w14:textId="69A018EF" w:rsidR="001412EE" w:rsidRPr="007246EF" w:rsidRDefault="001412EE" w:rsidP="001412EE">
      <w:pPr>
        <w:widowControl/>
        <w:spacing w:line="360" w:lineRule="auto"/>
        <w:ind w:left="720" w:hanging="720"/>
        <w:jc w:val="both"/>
        <w:rPr>
          <w:b/>
          <w:sz w:val="24"/>
          <w:szCs w:val="24"/>
        </w:rPr>
      </w:pPr>
      <w:r w:rsidRPr="007246EF">
        <w:rPr>
          <w:b/>
          <w:sz w:val="24"/>
          <w:szCs w:val="24"/>
        </w:rPr>
        <w:t>Q.</w:t>
      </w:r>
      <w:r w:rsidRPr="007246EF">
        <w:rPr>
          <w:b/>
          <w:sz w:val="24"/>
          <w:szCs w:val="24"/>
        </w:rPr>
        <w:tab/>
        <w:t>DOES PIA STAFF DISAGREE WITH</w:t>
      </w:r>
      <w:r w:rsidR="00393B10">
        <w:rPr>
          <w:b/>
          <w:sz w:val="24"/>
          <w:szCs w:val="24"/>
        </w:rPr>
        <w:t xml:space="preserve"> THE USE OF</w:t>
      </w:r>
      <w:r w:rsidRPr="007246EF">
        <w:rPr>
          <w:b/>
          <w:sz w:val="24"/>
          <w:szCs w:val="24"/>
        </w:rPr>
        <w:t xml:space="preserve"> THREE-PART RATES</w:t>
      </w:r>
      <w:r w:rsidR="00230729">
        <w:rPr>
          <w:b/>
          <w:sz w:val="24"/>
          <w:szCs w:val="24"/>
        </w:rPr>
        <w:t xml:space="preserve"> SUCH AS </w:t>
      </w:r>
      <w:r w:rsidR="00393B10">
        <w:rPr>
          <w:b/>
          <w:sz w:val="24"/>
          <w:szCs w:val="24"/>
        </w:rPr>
        <w:t>TIME OF USE – RESIDENTIAL DEMAND</w:t>
      </w:r>
      <w:r w:rsidR="00230729">
        <w:rPr>
          <w:b/>
          <w:sz w:val="24"/>
          <w:szCs w:val="24"/>
        </w:rPr>
        <w:t xml:space="preserve"> (</w:t>
      </w:r>
      <w:r w:rsidR="00393B10">
        <w:rPr>
          <w:b/>
          <w:sz w:val="24"/>
          <w:szCs w:val="24"/>
        </w:rPr>
        <w:t>“</w:t>
      </w:r>
      <w:r w:rsidR="00230729">
        <w:rPr>
          <w:b/>
          <w:sz w:val="24"/>
          <w:szCs w:val="24"/>
        </w:rPr>
        <w:t>TOU-RD</w:t>
      </w:r>
      <w:r w:rsidR="00393B10">
        <w:rPr>
          <w:b/>
          <w:sz w:val="24"/>
          <w:szCs w:val="24"/>
        </w:rPr>
        <w:t>”</w:t>
      </w:r>
      <w:r w:rsidR="00230729">
        <w:rPr>
          <w:b/>
          <w:sz w:val="24"/>
          <w:szCs w:val="24"/>
        </w:rPr>
        <w:t>)</w:t>
      </w:r>
      <w:r w:rsidRPr="007246EF">
        <w:rPr>
          <w:b/>
          <w:sz w:val="24"/>
          <w:szCs w:val="24"/>
        </w:rPr>
        <w:t>?</w:t>
      </w:r>
    </w:p>
    <w:p w14:paraId="739B9010" w14:textId="0199C398" w:rsidR="001412EE" w:rsidRDefault="001412EE" w:rsidP="001412EE">
      <w:pPr>
        <w:widowControl/>
        <w:spacing w:line="360" w:lineRule="auto"/>
        <w:ind w:left="720" w:hanging="720"/>
        <w:jc w:val="both"/>
        <w:rPr>
          <w:sz w:val="24"/>
          <w:szCs w:val="24"/>
        </w:rPr>
      </w:pPr>
      <w:r>
        <w:rPr>
          <w:sz w:val="24"/>
          <w:szCs w:val="24"/>
        </w:rPr>
        <w:t>A.</w:t>
      </w:r>
      <w:r>
        <w:rPr>
          <w:sz w:val="24"/>
          <w:szCs w:val="24"/>
        </w:rPr>
        <w:tab/>
        <w:t xml:space="preserve">No. </w:t>
      </w:r>
      <w:r w:rsidR="00634810">
        <w:rPr>
          <w:sz w:val="24"/>
          <w:szCs w:val="24"/>
        </w:rPr>
        <w:t>PIA Staff recommended approval of the TOU-RD rate in the 2013 rate case as an appropriate rate option for residential customers.</w:t>
      </w:r>
    </w:p>
    <w:p w14:paraId="31F2A409" w14:textId="77777777" w:rsidR="001412EE" w:rsidRDefault="001412EE" w:rsidP="001412EE">
      <w:pPr>
        <w:widowControl/>
        <w:spacing w:line="360" w:lineRule="auto"/>
        <w:ind w:left="720" w:hanging="720"/>
        <w:jc w:val="both"/>
        <w:rPr>
          <w:sz w:val="24"/>
          <w:szCs w:val="24"/>
        </w:rPr>
      </w:pPr>
    </w:p>
    <w:p w14:paraId="448BA83D" w14:textId="2D8BDA86" w:rsidR="001412EE" w:rsidRPr="00A660A8" w:rsidRDefault="001412EE" w:rsidP="001412EE">
      <w:pPr>
        <w:widowControl/>
        <w:spacing w:line="360" w:lineRule="auto"/>
        <w:ind w:left="720" w:hanging="720"/>
        <w:jc w:val="both"/>
        <w:rPr>
          <w:b/>
          <w:sz w:val="24"/>
          <w:szCs w:val="24"/>
        </w:rPr>
      </w:pPr>
      <w:r w:rsidRPr="00A660A8">
        <w:rPr>
          <w:b/>
          <w:sz w:val="24"/>
          <w:szCs w:val="24"/>
        </w:rPr>
        <w:t>Q.</w:t>
      </w:r>
      <w:r w:rsidRPr="00A660A8">
        <w:rPr>
          <w:b/>
          <w:sz w:val="24"/>
          <w:szCs w:val="24"/>
        </w:rPr>
        <w:tab/>
      </w:r>
      <w:r>
        <w:rPr>
          <w:b/>
          <w:sz w:val="24"/>
          <w:szCs w:val="24"/>
        </w:rPr>
        <w:t>PLEASE RESPOND TO</w:t>
      </w:r>
      <w:r w:rsidRPr="00A660A8">
        <w:rPr>
          <w:b/>
          <w:sz w:val="24"/>
          <w:szCs w:val="24"/>
        </w:rPr>
        <w:t xml:space="preserve"> PIA STAFF’S OBJECTION TO A DEMAND CHARGE BASED ON A CUSTOMER’S NON-COINCIDENT PEAK DEMAND?</w:t>
      </w:r>
      <w:r w:rsidR="00CE0925">
        <w:rPr>
          <w:b/>
          <w:sz w:val="24"/>
          <w:szCs w:val="24"/>
        </w:rPr>
        <w:t xml:space="preserve"> </w:t>
      </w:r>
    </w:p>
    <w:p w14:paraId="3D39803C" w14:textId="36BFE591" w:rsidR="00FB0265" w:rsidRDefault="001412EE" w:rsidP="00B258D7">
      <w:pPr>
        <w:widowControl/>
        <w:spacing w:line="360" w:lineRule="auto"/>
        <w:ind w:left="720" w:hanging="720"/>
        <w:jc w:val="both"/>
        <w:rPr>
          <w:sz w:val="24"/>
          <w:szCs w:val="24"/>
        </w:rPr>
      </w:pPr>
      <w:r>
        <w:rPr>
          <w:sz w:val="24"/>
          <w:szCs w:val="24"/>
        </w:rPr>
        <w:t>A.</w:t>
      </w:r>
      <w:r>
        <w:rPr>
          <w:sz w:val="24"/>
          <w:szCs w:val="24"/>
        </w:rPr>
        <w:tab/>
      </w:r>
      <w:r w:rsidR="00ED6B19" w:rsidRPr="00ED6B19">
        <w:rPr>
          <w:sz w:val="24"/>
          <w:szCs w:val="24"/>
        </w:rPr>
        <w:t xml:space="preserve">PIA Staff asserts that a demand charge based on a customer’s non-coincident peak demand sends a poor price signal. However, there is a </w:t>
      </w:r>
      <w:r w:rsidR="00FB0265">
        <w:rPr>
          <w:sz w:val="24"/>
          <w:szCs w:val="24"/>
        </w:rPr>
        <w:t xml:space="preserve">“coincident </w:t>
      </w:r>
      <w:r w:rsidR="00ED6B19" w:rsidRPr="00ED6B19">
        <w:rPr>
          <w:sz w:val="24"/>
          <w:szCs w:val="24"/>
        </w:rPr>
        <w:t>peak</w:t>
      </w:r>
      <w:r w:rsidR="00FB0265">
        <w:rPr>
          <w:sz w:val="24"/>
          <w:szCs w:val="24"/>
        </w:rPr>
        <w:t>”</w:t>
      </w:r>
      <w:r w:rsidR="00ED6B19" w:rsidRPr="00ED6B19">
        <w:rPr>
          <w:sz w:val="24"/>
          <w:szCs w:val="24"/>
        </w:rPr>
        <w:t xml:space="preserve"> price signal in TOU-RD through the on-peak </w:t>
      </w:r>
      <w:r w:rsidR="00FB0265">
        <w:rPr>
          <w:sz w:val="24"/>
          <w:szCs w:val="24"/>
        </w:rPr>
        <w:t>energy price</w:t>
      </w:r>
      <w:r w:rsidR="00FB0265" w:rsidRPr="00ED6B19">
        <w:rPr>
          <w:sz w:val="24"/>
          <w:szCs w:val="24"/>
        </w:rPr>
        <w:t xml:space="preserve"> </w:t>
      </w:r>
      <w:r w:rsidR="00ED6B19" w:rsidRPr="00ED6B19">
        <w:rPr>
          <w:sz w:val="24"/>
          <w:szCs w:val="24"/>
        </w:rPr>
        <w:t>during the hours of 2:00</w:t>
      </w:r>
      <w:r w:rsidR="00393B10">
        <w:rPr>
          <w:sz w:val="24"/>
          <w:szCs w:val="24"/>
        </w:rPr>
        <w:t>pm</w:t>
      </w:r>
      <w:r w:rsidR="00ED6B19" w:rsidRPr="00ED6B19">
        <w:rPr>
          <w:sz w:val="24"/>
          <w:szCs w:val="24"/>
        </w:rPr>
        <w:t xml:space="preserve"> to 7:00pm</w:t>
      </w:r>
      <w:r w:rsidR="00FB0265">
        <w:rPr>
          <w:sz w:val="24"/>
          <w:szCs w:val="24"/>
        </w:rPr>
        <w:t xml:space="preserve"> on summer weekdays</w:t>
      </w:r>
      <w:r w:rsidR="00357860">
        <w:rPr>
          <w:sz w:val="24"/>
          <w:szCs w:val="24"/>
        </w:rPr>
        <w:t>, which sends a price signal to</w:t>
      </w:r>
      <w:r w:rsidR="00357860" w:rsidRPr="00ED6B19">
        <w:rPr>
          <w:sz w:val="24"/>
          <w:szCs w:val="24"/>
        </w:rPr>
        <w:t xml:space="preserve"> encourage customers to avoid the highest cost hours to the system</w:t>
      </w:r>
      <w:r w:rsidR="00ED6B19" w:rsidRPr="00ED6B19">
        <w:rPr>
          <w:sz w:val="24"/>
          <w:szCs w:val="24"/>
        </w:rPr>
        <w:t>.</w:t>
      </w:r>
      <w:r w:rsidR="00B258D7">
        <w:rPr>
          <w:sz w:val="24"/>
          <w:szCs w:val="24"/>
        </w:rPr>
        <w:t xml:space="preserve"> </w:t>
      </w:r>
      <w:r w:rsidR="00ED6B19" w:rsidRPr="00ED6B19">
        <w:rPr>
          <w:sz w:val="24"/>
          <w:szCs w:val="24"/>
        </w:rPr>
        <w:t>There are multiple demand costs to cover in a demand charge, including distribution costs</w:t>
      </w:r>
      <w:r w:rsidR="00B724E5">
        <w:rPr>
          <w:sz w:val="24"/>
          <w:szCs w:val="24"/>
        </w:rPr>
        <w:t>,</w:t>
      </w:r>
      <w:r w:rsidR="00ED6B19" w:rsidRPr="00ED6B19">
        <w:rPr>
          <w:sz w:val="24"/>
          <w:szCs w:val="24"/>
        </w:rPr>
        <w:t xml:space="preserve"> which are based on non-coincident peak. </w:t>
      </w:r>
      <w:r w:rsidR="00357860">
        <w:rPr>
          <w:sz w:val="24"/>
          <w:szCs w:val="24"/>
        </w:rPr>
        <w:t>Thus, u</w:t>
      </w:r>
      <w:r w:rsidR="00357860" w:rsidRPr="00ED6B19">
        <w:rPr>
          <w:sz w:val="24"/>
          <w:szCs w:val="24"/>
        </w:rPr>
        <w:t xml:space="preserve">sing </w:t>
      </w:r>
      <w:r w:rsidR="00357860">
        <w:rPr>
          <w:sz w:val="24"/>
          <w:szCs w:val="24"/>
        </w:rPr>
        <w:t xml:space="preserve">the existing time of use price signal </w:t>
      </w:r>
      <w:r w:rsidR="00ED6B19" w:rsidRPr="00ED6B19">
        <w:rPr>
          <w:sz w:val="24"/>
          <w:szCs w:val="24"/>
        </w:rPr>
        <w:t>keeps the rate simpler and easy to understand</w:t>
      </w:r>
      <w:r w:rsidR="00393B10">
        <w:rPr>
          <w:sz w:val="24"/>
          <w:szCs w:val="24"/>
        </w:rPr>
        <w:t>.</w:t>
      </w:r>
      <w:r w:rsidR="00ED6B19" w:rsidRPr="00ED6B19">
        <w:rPr>
          <w:sz w:val="24"/>
          <w:szCs w:val="24"/>
        </w:rPr>
        <w:t xml:space="preserve"> </w:t>
      </w:r>
      <w:r w:rsidR="00393B10">
        <w:rPr>
          <w:sz w:val="24"/>
          <w:szCs w:val="24"/>
        </w:rPr>
        <w:t>I</w:t>
      </w:r>
      <w:r w:rsidR="00ED6B19" w:rsidRPr="00ED6B19">
        <w:rPr>
          <w:sz w:val="24"/>
          <w:szCs w:val="24"/>
        </w:rPr>
        <w:t xml:space="preserve">n addition, it </w:t>
      </w:r>
      <w:r w:rsidR="007572B0">
        <w:rPr>
          <w:sz w:val="24"/>
          <w:szCs w:val="24"/>
        </w:rPr>
        <w:t xml:space="preserve">helps </w:t>
      </w:r>
      <w:r w:rsidR="00393B10">
        <w:rPr>
          <w:sz w:val="24"/>
          <w:szCs w:val="24"/>
        </w:rPr>
        <w:t xml:space="preserve">customers </w:t>
      </w:r>
      <w:r w:rsidR="00ED6B19" w:rsidRPr="00ED6B19">
        <w:rPr>
          <w:sz w:val="24"/>
          <w:szCs w:val="24"/>
        </w:rPr>
        <w:t>avoid extreme bill</w:t>
      </w:r>
      <w:r w:rsidR="00393B10">
        <w:rPr>
          <w:sz w:val="24"/>
          <w:szCs w:val="24"/>
        </w:rPr>
        <w:t xml:space="preserve"> </w:t>
      </w:r>
      <w:r w:rsidR="00ED6B19" w:rsidRPr="00ED6B19">
        <w:rPr>
          <w:sz w:val="24"/>
          <w:szCs w:val="24"/>
        </w:rPr>
        <w:t>s</w:t>
      </w:r>
      <w:r w:rsidR="00393B10">
        <w:rPr>
          <w:sz w:val="24"/>
          <w:szCs w:val="24"/>
        </w:rPr>
        <w:t>wings</w:t>
      </w:r>
      <w:r w:rsidR="00ED6B19" w:rsidRPr="00ED6B19">
        <w:rPr>
          <w:sz w:val="24"/>
          <w:szCs w:val="24"/>
        </w:rPr>
        <w:t xml:space="preserve"> in summer months. </w:t>
      </w:r>
    </w:p>
    <w:p w14:paraId="46E54446" w14:textId="46BC3491" w:rsidR="001412EE" w:rsidRDefault="00ED6B19" w:rsidP="00FB0265">
      <w:pPr>
        <w:widowControl/>
        <w:spacing w:line="360" w:lineRule="auto"/>
        <w:ind w:left="720"/>
        <w:jc w:val="both"/>
        <w:rPr>
          <w:sz w:val="24"/>
          <w:szCs w:val="24"/>
        </w:rPr>
      </w:pPr>
      <w:r w:rsidRPr="00ED6B19">
        <w:rPr>
          <w:sz w:val="24"/>
          <w:szCs w:val="24"/>
        </w:rPr>
        <w:t xml:space="preserve"> </w:t>
      </w:r>
    </w:p>
    <w:p w14:paraId="64791887" w14:textId="3ED1F810" w:rsidR="001412EE" w:rsidRPr="00021400" w:rsidRDefault="001412EE" w:rsidP="001412EE">
      <w:pPr>
        <w:widowControl/>
        <w:spacing w:line="360" w:lineRule="auto"/>
        <w:ind w:left="720" w:hanging="720"/>
        <w:jc w:val="both"/>
        <w:rPr>
          <w:b/>
          <w:sz w:val="24"/>
          <w:szCs w:val="24"/>
        </w:rPr>
      </w:pPr>
      <w:r w:rsidRPr="00021400">
        <w:rPr>
          <w:b/>
          <w:sz w:val="24"/>
          <w:szCs w:val="24"/>
        </w:rPr>
        <w:t>Q.</w:t>
      </w:r>
      <w:r w:rsidRPr="00021400">
        <w:rPr>
          <w:b/>
          <w:sz w:val="24"/>
          <w:szCs w:val="24"/>
        </w:rPr>
        <w:tab/>
        <w:t xml:space="preserve">DOES THE COMPANY’S PROPOSED RATE PORTFOLIO OFFER SUFFICIENT OPTIONALITY FOR </w:t>
      </w:r>
      <w:r w:rsidR="00C20A7B">
        <w:rPr>
          <w:b/>
          <w:sz w:val="24"/>
          <w:szCs w:val="24"/>
        </w:rPr>
        <w:t xml:space="preserve">RESIDENTIAL </w:t>
      </w:r>
      <w:r w:rsidRPr="00021400">
        <w:rPr>
          <w:b/>
          <w:sz w:val="24"/>
          <w:szCs w:val="24"/>
        </w:rPr>
        <w:t>CUSTOMERS?</w:t>
      </w:r>
    </w:p>
    <w:p w14:paraId="14AEF0DA" w14:textId="2EA29B8C" w:rsidR="001412EE" w:rsidRDefault="001412EE" w:rsidP="00B258D7">
      <w:pPr>
        <w:widowControl/>
        <w:spacing w:line="360" w:lineRule="auto"/>
        <w:ind w:left="720" w:hanging="720"/>
        <w:jc w:val="both"/>
        <w:rPr>
          <w:sz w:val="24"/>
          <w:szCs w:val="24"/>
        </w:rPr>
      </w:pPr>
      <w:r>
        <w:rPr>
          <w:sz w:val="24"/>
          <w:szCs w:val="24"/>
        </w:rPr>
        <w:t>A.</w:t>
      </w:r>
      <w:r>
        <w:rPr>
          <w:sz w:val="24"/>
          <w:szCs w:val="24"/>
        </w:rPr>
        <w:tab/>
      </w:r>
      <w:r w:rsidR="00C20A7B">
        <w:rPr>
          <w:sz w:val="24"/>
          <w:szCs w:val="24"/>
        </w:rPr>
        <w:t xml:space="preserve">Yes. If the Company’s proposal is approved, </w:t>
      </w:r>
      <w:r w:rsidR="00470AB4">
        <w:rPr>
          <w:sz w:val="24"/>
          <w:szCs w:val="24"/>
        </w:rPr>
        <w:t xml:space="preserve">current </w:t>
      </w:r>
      <w:r w:rsidR="00B724E5">
        <w:rPr>
          <w:sz w:val="24"/>
          <w:szCs w:val="24"/>
        </w:rPr>
        <w:t>r</w:t>
      </w:r>
      <w:r w:rsidR="00C20A7B">
        <w:rPr>
          <w:sz w:val="24"/>
          <w:szCs w:val="24"/>
        </w:rPr>
        <w:t xml:space="preserve">esidential customers will have seven rate options. </w:t>
      </w:r>
      <w:r w:rsidR="003B208E">
        <w:rPr>
          <w:sz w:val="24"/>
          <w:szCs w:val="24"/>
        </w:rPr>
        <w:t xml:space="preserve">Compared to </w:t>
      </w:r>
      <w:r w:rsidR="00DA29DB">
        <w:rPr>
          <w:sz w:val="24"/>
          <w:szCs w:val="24"/>
        </w:rPr>
        <w:t>other investor-owned utility tariff portfolios</w:t>
      </w:r>
      <w:r w:rsidR="003B208E">
        <w:rPr>
          <w:sz w:val="24"/>
          <w:szCs w:val="24"/>
        </w:rPr>
        <w:t>, we believe</w:t>
      </w:r>
      <w:r w:rsidR="00DA29DB">
        <w:rPr>
          <w:sz w:val="24"/>
          <w:szCs w:val="24"/>
        </w:rPr>
        <w:t xml:space="preserve"> Georgia Power’s proposed options would be one of the most robust and advanced tariff portfolios in the nation</w:t>
      </w:r>
      <w:r w:rsidR="00C20A7B">
        <w:rPr>
          <w:sz w:val="24"/>
          <w:szCs w:val="24"/>
        </w:rPr>
        <w:t>.</w:t>
      </w:r>
      <w:r w:rsidR="00B258D7">
        <w:rPr>
          <w:sz w:val="24"/>
          <w:szCs w:val="24"/>
        </w:rPr>
        <w:t xml:space="preserve"> </w:t>
      </w:r>
      <w:r w:rsidR="001B172F">
        <w:rPr>
          <w:sz w:val="24"/>
          <w:szCs w:val="24"/>
        </w:rPr>
        <w:t>Georgia Power has requested to begin transitioning away from the more antiquated</w:t>
      </w:r>
      <w:r w:rsidR="00B724E5">
        <w:rPr>
          <w:sz w:val="24"/>
          <w:szCs w:val="24"/>
        </w:rPr>
        <w:t>,</w:t>
      </w:r>
      <w:r w:rsidR="001B172F">
        <w:rPr>
          <w:sz w:val="24"/>
          <w:szCs w:val="24"/>
        </w:rPr>
        <w:t xml:space="preserve"> volumetric option of </w:t>
      </w:r>
      <w:r w:rsidR="00B26EE7">
        <w:rPr>
          <w:sz w:val="24"/>
          <w:szCs w:val="24"/>
        </w:rPr>
        <w:t>the ‘</w:t>
      </w:r>
      <w:r w:rsidR="001B172F">
        <w:rPr>
          <w:sz w:val="24"/>
          <w:szCs w:val="24"/>
        </w:rPr>
        <w:t>R</w:t>
      </w:r>
      <w:r w:rsidR="00B26EE7">
        <w:rPr>
          <w:sz w:val="24"/>
          <w:szCs w:val="24"/>
        </w:rPr>
        <w:t>’ Rate</w:t>
      </w:r>
      <w:r w:rsidR="001B172F">
        <w:rPr>
          <w:sz w:val="24"/>
          <w:szCs w:val="24"/>
        </w:rPr>
        <w:t xml:space="preserve">. </w:t>
      </w:r>
      <w:r w:rsidR="00C20A7B">
        <w:rPr>
          <w:sz w:val="24"/>
          <w:szCs w:val="24"/>
        </w:rPr>
        <w:t xml:space="preserve">If the Company’s proposal is approved, customers </w:t>
      </w:r>
      <w:r w:rsidR="001B172F">
        <w:rPr>
          <w:sz w:val="24"/>
          <w:szCs w:val="24"/>
        </w:rPr>
        <w:t xml:space="preserve">establishing service at new premises </w:t>
      </w:r>
      <w:r w:rsidR="00C20A7B">
        <w:rPr>
          <w:sz w:val="24"/>
          <w:szCs w:val="24"/>
        </w:rPr>
        <w:t xml:space="preserve">will be able to select from </w:t>
      </w:r>
      <w:r w:rsidR="00B724E5">
        <w:rPr>
          <w:sz w:val="24"/>
          <w:szCs w:val="24"/>
        </w:rPr>
        <w:t>four</w:t>
      </w:r>
      <w:r w:rsidR="00C20A7B">
        <w:rPr>
          <w:sz w:val="24"/>
          <w:szCs w:val="24"/>
        </w:rPr>
        <w:t xml:space="preserve"> of our most modern rate options. Then, after the initial year of service</w:t>
      </w:r>
      <w:r w:rsidR="001552A8">
        <w:rPr>
          <w:sz w:val="24"/>
          <w:szCs w:val="24"/>
        </w:rPr>
        <w:t xml:space="preserve"> at those new premises</w:t>
      </w:r>
      <w:r w:rsidR="00C20A7B">
        <w:rPr>
          <w:sz w:val="24"/>
          <w:szCs w:val="24"/>
        </w:rPr>
        <w:t>,</w:t>
      </w:r>
      <w:r w:rsidR="001552A8">
        <w:rPr>
          <w:sz w:val="24"/>
          <w:szCs w:val="24"/>
        </w:rPr>
        <w:t xml:space="preserve"> customers will be eligible for two additional </w:t>
      </w:r>
      <w:r w:rsidR="00470AB4">
        <w:rPr>
          <w:sz w:val="24"/>
          <w:szCs w:val="24"/>
        </w:rPr>
        <w:t>rates, FlatBill</w:t>
      </w:r>
      <w:r w:rsidR="00C20A7B">
        <w:rPr>
          <w:sz w:val="24"/>
          <w:szCs w:val="24"/>
        </w:rPr>
        <w:t xml:space="preserve"> and Pay by Day. </w:t>
      </w:r>
    </w:p>
    <w:p w14:paraId="165A8DB3" w14:textId="77777777" w:rsidR="001412EE" w:rsidRDefault="001412EE" w:rsidP="001412EE">
      <w:pPr>
        <w:widowControl/>
        <w:spacing w:line="360" w:lineRule="auto"/>
        <w:jc w:val="both"/>
        <w:rPr>
          <w:i/>
          <w:sz w:val="24"/>
          <w:szCs w:val="24"/>
        </w:rPr>
      </w:pPr>
    </w:p>
    <w:p w14:paraId="2AFACFD7" w14:textId="77777777" w:rsidR="001412EE" w:rsidRDefault="001412EE" w:rsidP="00560005">
      <w:pPr>
        <w:keepNext/>
        <w:widowControl/>
        <w:spacing w:line="360" w:lineRule="auto"/>
        <w:jc w:val="both"/>
        <w:rPr>
          <w:i/>
          <w:sz w:val="24"/>
          <w:szCs w:val="24"/>
        </w:rPr>
      </w:pPr>
      <w:r>
        <w:rPr>
          <w:i/>
          <w:sz w:val="24"/>
          <w:szCs w:val="24"/>
        </w:rPr>
        <w:t>Residential Rates</w:t>
      </w:r>
    </w:p>
    <w:p w14:paraId="707031C2" w14:textId="77777777" w:rsidR="001469B5" w:rsidRDefault="001469B5" w:rsidP="00560005">
      <w:pPr>
        <w:keepNext/>
        <w:widowControl/>
        <w:spacing w:line="360" w:lineRule="auto"/>
        <w:jc w:val="both"/>
        <w:rPr>
          <w:i/>
          <w:sz w:val="24"/>
          <w:szCs w:val="24"/>
          <w:highlight w:val="yellow"/>
        </w:rPr>
      </w:pPr>
    </w:p>
    <w:p w14:paraId="5104BA80" w14:textId="0736D48C" w:rsidR="00886EB8" w:rsidRDefault="00886EB8" w:rsidP="00560005">
      <w:pPr>
        <w:keepNext/>
        <w:widowControl/>
        <w:spacing w:line="360" w:lineRule="auto"/>
        <w:ind w:left="720" w:hanging="720"/>
        <w:jc w:val="both"/>
        <w:rPr>
          <w:b/>
          <w:sz w:val="24"/>
          <w:szCs w:val="24"/>
        </w:rPr>
      </w:pPr>
      <w:r w:rsidRPr="0035587E">
        <w:rPr>
          <w:b/>
          <w:sz w:val="24"/>
          <w:szCs w:val="24"/>
        </w:rPr>
        <w:t>Q.</w:t>
      </w:r>
      <w:r>
        <w:rPr>
          <w:i/>
          <w:sz w:val="24"/>
          <w:szCs w:val="24"/>
        </w:rPr>
        <w:t xml:space="preserve"> </w:t>
      </w:r>
      <w:r>
        <w:rPr>
          <w:i/>
          <w:sz w:val="24"/>
          <w:szCs w:val="24"/>
        </w:rPr>
        <w:tab/>
      </w:r>
      <w:r>
        <w:rPr>
          <w:b/>
          <w:sz w:val="24"/>
          <w:szCs w:val="24"/>
        </w:rPr>
        <w:t>DID THE COMPANY PERFORM A SURVEY TO GAUGE ITS CUSTOMER’S PREFERENCE OF RESIDENTIAL RATE OPTIONS?</w:t>
      </w:r>
    </w:p>
    <w:p w14:paraId="2C70DF73" w14:textId="4A06CBBD" w:rsidR="00886EB8" w:rsidRDefault="00886EB8" w:rsidP="00520300">
      <w:pPr>
        <w:widowControl/>
        <w:spacing w:line="360" w:lineRule="auto"/>
        <w:ind w:left="720" w:hanging="720"/>
        <w:jc w:val="both"/>
        <w:rPr>
          <w:sz w:val="24"/>
          <w:szCs w:val="24"/>
        </w:rPr>
      </w:pPr>
      <w:r w:rsidRPr="00520300">
        <w:rPr>
          <w:sz w:val="24"/>
          <w:szCs w:val="24"/>
        </w:rPr>
        <w:t>A.</w:t>
      </w:r>
      <w:r>
        <w:rPr>
          <w:b/>
          <w:sz w:val="24"/>
          <w:szCs w:val="24"/>
        </w:rPr>
        <w:t xml:space="preserve">  </w:t>
      </w:r>
      <w:r>
        <w:rPr>
          <w:b/>
          <w:sz w:val="24"/>
          <w:szCs w:val="24"/>
        </w:rPr>
        <w:tab/>
      </w:r>
      <w:r>
        <w:rPr>
          <w:sz w:val="24"/>
          <w:szCs w:val="24"/>
        </w:rPr>
        <w:t xml:space="preserve">Yes, the Company used both Southern Company Services and a </w:t>
      </w:r>
      <w:r w:rsidR="00A467B0">
        <w:rPr>
          <w:sz w:val="24"/>
          <w:szCs w:val="24"/>
        </w:rPr>
        <w:t>third-party</w:t>
      </w:r>
      <w:r>
        <w:rPr>
          <w:sz w:val="24"/>
          <w:szCs w:val="24"/>
        </w:rPr>
        <w:t xml:space="preserve"> consultant to </w:t>
      </w:r>
      <w:r w:rsidR="0035183E">
        <w:rPr>
          <w:sz w:val="24"/>
          <w:szCs w:val="24"/>
        </w:rPr>
        <w:t>compare</w:t>
      </w:r>
      <w:r>
        <w:rPr>
          <w:sz w:val="24"/>
          <w:szCs w:val="24"/>
        </w:rPr>
        <w:t xml:space="preserve"> residential rate options and surveyed the Company’s residential customers to solicit their rate preferences. </w:t>
      </w:r>
      <w:r w:rsidR="0035183E">
        <w:rPr>
          <w:sz w:val="24"/>
          <w:szCs w:val="24"/>
        </w:rPr>
        <w:t xml:space="preserve">The survey results indicated that FlatBill was the most preferred and the Company’s Smart Usage rate (TOU-RD) was the second most preferred residential rate option. </w:t>
      </w:r>
      <w:r w:rsidR="003B1CCD">
        <w:rPr>
          <w:sz w:val="24"/>
          <w:szCs w:val="24"/>
        </w:rPr>
        <w:t>The Company exercised caution and used b</w:t>
      </w:r>
      <w:r>
        <w:rPr>
          <w:sz w:val="24"/>
          <w:szCs w:val="24"/>
        </w:rPr>
        <w:t xml:space="preserve">est business practices </w:t>
      </w:r>
      <w:r w:rsidR="003B1CCD">
        <w:rPr>
          <w:sz w:val="24"/>
          <w:szCs w:val="24"/>
        </w:rPr>
        <w:t>to avoid introducing</w:t>
      </w:r>
      <w:r>
        <w:rPr>
          <w:sz w:val="24"/>
          <w:szCs w:val="24"/>
        </w:rPr>
        <w:t xml:space="preserve"> bias</w:t>
      </w:r>
      <w:r w:rsidR="003B1CCD">
        <w:rPr>
          <w:sz w:val="24"/>
          <w:szCs w:val="24"/>
        </w:rPr>
        <w:t xml:space="preserve"> to</w:t>
      </w:r>
      <w:r>
        <w:rPr>
          <w:sz w:val="24"/>
          <w:szCs w:val="24"/>
        </w:rPr>
        <w:t xml:space="preserve"> the survey.</w:t>
      </w:r>
      <w:r w:rsidR="003B1CCD">
        <w:rPr>
          <w:sz w:val="24"/>
          <w:szCs w:val="24"/>
        </w:rPr>
        <w:t xml:space="preserve"> The description of e</w:t>
      </w:r>
      <w:r>
        <w:rPr>
          <w:sz w:val="24"/>
          <w:szCs w:val="24"/>
        </w:rPr>
        <w:t xml:space="preserve">ach rate was </w:t>
      </w:r>
      <w:r w:rsidR="003B1CCD">
        <w:rPr>
          <w:sz w:val="24"/>
          <w:szCs w:val="24"/>
        </w:rPr>
        <w:t>pared</w:t>
      </w:r>
      <w:r>
        <w:rPr>
          <w:sz w:val="24"/>
          <w:szCs w:val="24"/>
        </w:rPr>
        <w:t xml:space="preserve"> </w:t>
      </w:r>
      <w:r w:rsidR="003B1CCD">
        <w:rPr>
          <w:sz w:val="24"/>
          <w:szCs w:val="24"/>
        </w:rPr>
        <w:t xml:space="preserve">down </w:t>
      </w:r>
      <w:r>
        <w:rPr>
          <w:sz w:val="24"/>
          <w:szCs w:val="24"/>
        </w:rPr>
        <w:t>to quickly and easily communicate the most important points of the rate. No rate option was explained in great</w:t>
      </w:r>
      <w:r w:rsidR="003B1CCD">
        <w:rPr>
          <w:sz w:val="24"/>
          <w:szCs w:val="24"/>
        </w:rPr>
        <w:t>er</w:t>
      </w:r>
      <w:r>
        <w:rPr>
          <w:sz w:val="24"/>
          <w:szCs w:val="24"/>
        </w:rPr>
        <w:t xml:space="preserve"> detail</w:t>
      </w:r>
      <w:r w:rsidR="003B1CCD">
        <w:rPr>
          <w:sz w:val="24"/>
          <w:szCs w:val="24"/>
        </w:rPr>
        <w:t xml:space="preserve"> than another</w:t>
      </w:r>
      <w:r>
        <w:rPr>
          <w:sz w:val="24"/>
          <w:szCs w:val="24"/>
        </w:rPr>
        <w:t xml:space="preserve"> </w:t>
      </w:r>
      <w:r w:rsidR="0035183E">
        <w:rPr>
          <w:sz w:val="24"/>
          <w:szCs w:val="24"/>
        </w:rPr>
        <w:t xml:space="preserve">and no rates were described as offering </w:t>
      </w:r>
      <w:r>
        <w:rPr>
          <w:sz w:val="24"/>
          <w:szCs w:val="24"/>
        </w:rPr>
        <w:t>savings as a benefit.</w:t>
      </w:r>
      <w:r w:rsidR="003B1CCD">
        <w:rPr>
          <w:sz w:val="24"/>
          <w:szCs w:val="24"/>
        </w:rPr>
        <w:t xml:space="preserve"> </w:t>
      </w:r>
      <w:r w:rsidR="00BE1597">
        <w:rPr>
          <w:sz w:val="24"/>
          <w:szCs w:val="24"/>
        </w:rPr>
        <w:t>Further</w:t>
      </w:r>
      <w:r w:rsidR="003B1CCD">
        <w:rPr>
          <w:sz w:val="24"/>
          <w:szCs w:val="24"/>
        </w:rPr>
        <w:t>, t</w:t>
      </w:r>
      <w:r>
        <w:rPr>
          <w:sz w:val="24"/>
          <w:szCs w:val="24"/>
        </w:rPr>
        <w:t>he descriptions were randomized and balanced to</w:t>
      </w:r>
      <w:r w:rsidR="003B1CCD">
        <w:rPr>
          <w:sz w:val="24"/>
          <w:szCs w:val="24"/>
        </w:rPr>
        <w:t xml:space="preserve"> </w:t>
      </w:r>
      <w:r>
        <w:rPr>
          <w:sz w:val="24"/>
          <w:szCs w:val="24"/>
        </w:rPr>
        <w:t xml:space="preserve">eliminate order bias. The sample was statistically significant of the Company’s demographics and had </w:t>
      </w:r>
      <w:r w:rsidR="003B1CCD">
        <w:rPr>
          <w:sz w:val="24"/>
          <w:szCs w:val="24"/>
        </w:rPr>
        <w:t xml:space="preserve">approximately </w:t>
      </w:r>
      <w:r>
        <w:rPr>
          <w:sz w:val="24"/>
          <w:szCs w:val="24"/>
        </w:rPr>
        <w:t>1</w:t>
      </w:r>
      <w:r w:rsidR="007D5C8B">
        <w:rPr>
          <w:sz w:val="24"/>
          <w:szCs w:val="24"/>
        </w:rPr>
        <w:t>,</w:t>
      </w:r>
      <w:r>
        <w:rPr>
          <w:sz w:val="24"/>
          <w:szCs w:val="24"/>
        </w:rPr>
        <w:t>000 respondents.</w:t>
      </w:r>
    </w:p>
    <w:p w14:paraId="0138FA6D" w14:textId="77777777" w:rsidR="00886EB8" w:rsidRDefault="00886EB8" w:rsidP="00886EB8">
      <w:pPr>
        <w:widowControl/>
        <w:spacing w:line="360" w:lineRule="auto"/>
        <w:jc w:val="both"/>
        <w:rPr>
          <w:sz w:val="24"/>
          <w:szCs w:val="24"/>
        </w:rPr>
      </w:pPr>
    </w:p>
    <w:p w14:paraId="01EBCB31" w14:textId="74C58D92" w:rsidR="00886EB8" w:rsidRPr="0035587E" w:rsidRDefault="00886EB8" w:rsidP="00520300">
      <w:pPr>
        <w:widowControl/>
        <w:spacing w:line="360" w:lineRule="auto"/>
        <w:ind w:left="720" w:hanging="720"/>
        <w:jc w:val="both"/>
        <w:rPr>
          <w:b/>
          <w:sz w:val="24"/>
          <w:szCs w:val="24"/>
        </w:rPr>
      </w:pPr>
      <w:r w:rsidRPr="0035587E">
        <w:rPr>
          <w:b/>
          <w:sz w:val="24"/>
          <w:szCs w:val="24"/>
        </w:rPr>
        <w:t>Q.</w:t>
      </w:r>
      <w:r w:rsidRPr="0035587E">
        <w:rPr>
          <w:b/>
          <w:sz w:val="24"/>
          <w:szCs w:val="24"/>
        </w:rPr>
        <w:tab/>
        <w:t xml:space="preserve">IS THE RATE PREFERENCE SURVEY THE ONLY INDICATION OF </w:t>
      </w:r>
      <w:r w:rsidR="00BE1597" w:rsidRPr="0035587E">
        <w:rPr>
          <w:b/>
          <w:sz w:val="24"/>
          <w:szCs w:val="24"/>
        </w:rPr>
        <w:t>FLATBILL</w:t>
      </w:r>
      <w:r w:rsidR="00BE1597">
        <w:rPr>
          <w:b/>
          <w:sz w:val="24"/>
          <w:szCs w:val="24"/>
        </w:rPr>
        <w:t>’S</w:t>
      </w:r>
      <w:r w:rsidR="00BE1597" w:rsidRPr="0035587E">
        <w:rPr>
          <w:b/>
          <w:sz w:val="24"/>
          <w:szCs w:val="24"/>
        </w:rPr>
        <w:t xml:space="preserve"> </w:t>
      </w:r>
      <w:r w:rsidRPr="0035587E">
        <w:rPr>
          <w:b/>
          <w:sz w:val="24"/>
          <w:szCs w:val="24"/>
        </w:rPr>
        <w:t>POPULARITY?</w:t>
      </w:r>
    </w:p>
    <w:p w14:paraId="62ECEAB4" w14:textId="349E5FEB" w:rsidR="001469B5" w:rsidRDefault="00886EB8" w:rsidP="00520300">
      <w:pPr>
        <w:widowControl/>
        <w:spacing w:line="360" w:lineRule="auto"/>
        <w:ind w:left="720" w:hanging="720"/>
        <w:jc w:val="both"/>
        <w:rPr>
          <w:sz w:val="24"/>
          <w:szCs w:val="24"/>
        </w:rPr>
      </w:pPr>
      <w:r w:rsidRPr="00520300">
        <w:rPr>
          <w:sz w:val="24"/>
          <w:szCs w:val="24"/>
        </w:rPr>
        <w:t>A.</w:t>
      </w:r>
      <w:r w:rsidRPr="0035587E">
        <w:rPr>
          <w:b/>
          <w:sz w:val="24"/>
          <w:szCs w:val="24"/>
        </w:rPr>
        <w:t xml:space="preserve"> </w:t>
      </w:r>
      <w:r>
        <w:rPr>
          <w:b/>
          <w:sz w:val="24"/>
          <w:szCs w:val="24"/>
        </w:rPr>
        <w:tab/>
      </w:r>
      <w:r w:rsidRPr="0035587E">
        <w:rPr>
          <w:sz w:val="24"/>
          <w:szCs w:val="24"/>
        </w:rPr>
        <w:t>No</w:t>
      </w:r>
      <w:r w:rsidR="00BE1597">
        <w:rPr>
          <w:sz w:val="24"/>
          <w:szCs w:val="24"/>
        </w:rPr>
        <w:t>.</w:t>
      </w:r>
      <w:r w:rsidRPr="0035587E">
        <w:rPr>
          <w:sz w:val="24"/>
          <w:szCs w:val="24"/>
        </w:rPr>
        <w:t xml:space="preserve"> </w:t>
      </w:r>
      <w:r w:rsidR="00BE1597">
        <w:rPr>
          <w:sz w:val="24"/>
          <w:szCs w:val="24"/>
        </w:rPr>
        <w:t>While t</w:t>
      </w:r>
      <w:r w:rsidRPr="0035587E">
        <w:rPr>
          <w:sz w:val="24"/>
          <w:szCs w:val="24"/>
        </w:rPr>
        <w:t xml:space="preserve">he rate preference survey </w:t>
      </w:r>
      <w:r w:rsidR="00BE1597">
        <w:rPr>
          <w:sz w:val="24"/>
          <w:szCs w:val="24"/>
        </w:rPr>
        <w:t>indicated</w:t>
      </w:r>
      <w:r w:rsidRPr="0035587E">
        <w:rPr>
          <w:sz w:val="24"/>
          <w:szCs w:val="24"/>
        </w:rPr>
        <w:t xml:space="preserve"> that </w:t>
      </w:r>
      <w:r w:rsidR="0035183E">
        <w:rPr>
          <w:sz w:val="24"/>
          <w:szCs w:val="24"/>
        </w:rPr>
        <w:t xml:space="preserve">that </w:t>
      </w:r>
      <w:r w:rsidRPr="0035587E">
        <w:rPr>
          <w:sz w:val="24"/>
          <w:szCs w:val="24"/>
        </w:rPr>
        <w:t xml:space="preserve">FlatBill </w:t>
      </w:r>
      <w:r w:rsidR="00BE1597">
        <w:rPr>
          <w:sz w:val="24"/>
          <w:szCs w:val="24"/>
        </w:rPr>
        <w:t>rate</w:t>
      </w:r>
      <w:r w:rsidRPr="0035587E">
        <w:rPr>
          <w:sz w:val="24"/>
          <w:szCs w:val="24"/>
        </w:rPr>
        <w:t xml:space="preserve"> is most </w:t>
      </w:r>
      <w:r w:rsidRPr="006C3139">
        <w:rPr>
          <w:sz w:val="24"/>
          <w:szCs w:val="24"/>
        </w:rPr>
        <w:t>preferred</w:t>
      </w:r>
      <w:r>
        <w:rPr>
          <w:sz w:val="24"/>
          <w:szCs w:val="24"/>
        </w:rPr>
        <w:t xml:space="preserve"> when compared to other</w:t>
      </w:r>
      <w:r w:rsidR="00BE1597">
        <w:rPr>
          <w:sz w:val="24"/>
          <w:szCs w:val="24"/>
        </w:rPr>
        <w:t xml:space="preserve"> residential</w:t>
      </w:r>
      <w:r>
        <w:rPr>
          <w:sz w:val="24"/>
          <w:szCs w:val="24"/>
        </w:rPr>
        <w:t xml:space="preserve"> rates</w:t>
      </w:r>
      <w:r w:rsidR="00470AB4">
        <w:rPr>
          <w:sz w:val="24"/>
          <w:szCs w:val="24"/>
        </w:rPr>
        <w:t>,</w:t>
      </w:r>
      <w:r>
        <w:rPr>
          <w:sz w:val="24"/>
          <w:szCs w:val="24"/>
        </w:rPr>
        <w:t xml:space="preserve"> </w:t>
      </w:r>
      <w:r w:rsidRPr="0035587E">
        <w:rPr>
          <w:sz w:val="24"/>
          <w:szCs w:val="24"/>
        </w:rPr>
        <w:t xml:space="preserve">this </w:t>
      </w:r>
      <w:r w:rsidR="00BE1597">
        <w:rPr>
          <w:sz w:val="24"/>
          <w:szCs w:val="24"/>
        </w:rPr>
        <w:t xml:space="preserve">result </w:t>
      </w:r>
      <w:r w:rsidRPr="0035587E">
        <w:rPr>
          <w:sz w:val="24"/>
          <w:szCs w:val="24"/>
        </w:rPr>
        <w:t>only</w:t>
      </w:r>
      <w:r>
        <w:rPr>
          <w:sz w:val="24"/>
          <w:szCs w:val="24"/>
        </w:rPr>
        <w:t xml:space="preserve"> further</w:t>
      </w:r>
      <w:r w:rsidRPr="0035587E">
        <w:rPr>
          <w:sz w:val="24"/>
          <w:szCs w:val="24"/>
        </w:rPr>
        <w:t xml:space="preserve"> supports the data </w:t>
      </w:r>
      <w:r w:rsidR="00BE1597">
        <w:rPr>
          <w:sz w:val="24"/>
          <w:szCs w:val="24"/>
        </w:rPr>
        <w:t>the Company has</w:t>
      </w:r>
      <w:r w:rsidRPr="0035587E">
        <w:rPr>
          <w:sz w:val="24"/>
          <w:szCs w:val="24"/>
        </w:rPr>
        <w:t xml:space="preserve"> already </w:t>
      </w:r>
      <w:r w:rsidR="00BE1597">
        <w:rPr>
          <w:sz w:val="24"/>
          <w:szCs w:val="24"/>
        </w:rPr>
        <w:t xml:space="preserve">identified from the </w:t>
      </w:r>
      <w:r w:rsidR="0035183E">
        <w:rPr>
          <w:sz w:val="24"/>
          <w:szCs w:val="24"/>
        </w:rPr>
        <w:t xml:space="preserve">approximately </w:t>
      </w:r>
      <w:r w:rsidRPr="0035587E">
        <w:rPr>
          <w:sz w:val="24"/>
          <w:szCs w:val="24"/>
        </w:rPr>
        <w:t>300</w:t>
      </w:r>
      <w:r w:rsidR="00BE1597">
        <w:rPr>
          <w:sz w:val="24"/>
          <w:szCs w:val="24"/>
        </w:rPr>
        <w:t>,000</w:t>
      </w:r>
      <w:r w:rsidRPr="0035587E">
        <w:rPr>
          <w:sz w:val="24"/>
          <w:szCs w:val="24"/>
        </w:rPr>
        <w:t xml:space="preserve"> customers on this rate. </w:t>
      </w:r>
      <w:r w:rsidR="00BE1597">
        <w:rPr>
          <w:sz w:val="24"/>
          <w:szCs w:val="24"/>
        </w:rPr>
        <w:t xml:space="preserve">The Company has offered the </w:t>
      </w:r>
      <w:r>
        <w:rPr>
          <w:sz w:val="24"/>
          <w:szCs w:val="24"/>
        </w:rPr>
        <w:t xml:space="preserve">FlatBill </w:t>
      </w:r>
      <w:r w:rsidR="00BE1597">
        <w:rPr>
          <w:sz w:val="24"/>
          <w:szCs w:val="24"/>
        </w:rPr>
        <w:t>rate to customers</w:t>
      </w:r>
      <w:r>
        <w:rPr>
          <w:sz w:val="24"/>
          <w:szCs w:val="24"/>
        </w:rPr>
        <w:t xml:space="preserve"> for clos</w:t>
      </w:r>
      <w:r w:rsidR="00BE1597">
        <w:rPr>
          <w:sz w:val="24"/>
          <w:szCs w:val="24"/>
        </w:rPr>
        <w:t>e</w:t>
      </w:r>
      <w:r>
        <w:rPr>
          <w:sz w:val="24"/>
          <w:szCs w:val="24"/>
        </w:rPr>
        <w:t xml:space="preserve"> to 20 years and it is the most popular voluntary rate option.</w:t>
      </w:r>
      <w:r w:rsidR="00BE1597">
        <w:rPr>
          <w:sz w:val="24"/>
          <w:szCs w:val="24"/>
        </w:rPr>
        <w:t xml:space="preserve"> </w:t>
      </w:r>
      <w:r>
        <w:rPr>
          <w:sz w:val="24"/>
          <w:szCs w:val="24"/>
        </w:rPr>
        <w:t>In the</w:t>
      </w:r>
      <w:r w:rsidR="00BE1597">
        <w:rPr>
          <w:sz w:val="24"/>
          <w:szCs w:val="24"/>
        </w:rPr>
        <w:t xml:space="preserve"> Company’s</w:t>
      </w:r>
      <w:r>
        <w:rPr>
          <w:sz w:val="24"/>
          <w:szCs w:val="24"/>
        </w:rPr>
        <w:t xml:space="preserve"> annual residential satisfaction survey, the Customer Value Benchmark, the Company </w:t>
      </w:r>
      <w:r w:rsidR="00BE1597">
        <w:rPr>
          <w:sz w:val="24"/>
          <w:szCs w:val="24"/>
        </w:rPr>
        <w:t xml:space="preserve">has </w:t>
      </w:r>
      <w:r>
        <w:rPr>
          <w:sz w:val="24"/>
          <w:szCs w:val="24"/>
        </w:rPr>
        <w:t xml:space="preserve">consistently seen </w:t>
      </w:r>
      <w:r w:rsidR="00BE1597">
        <w:rPr>
          <w:sz w:val="24"/>
          <w:szCs w:val="24"/>
        </w:rPr>
        <w:t xml:space="preserve">higher </w:t>
      </w:r>
      <w:r>
        <w:rPr>
          <w:sz w:val="24"/>
          <w:szCs w:val="24"/>
        </w:rPr>
        <w:t xml:space="preserve">general satisfaction scores </w:t>
      </w:r>
      <w:r w:rsidR="00BE1597">
        <w:rPr>
          <w:sz w:val="24"/>
          <w:szCs w:val="24"/>
        </w:rPr>
        <w:t>from</w:t>
      </w:r>
      <w:r>
        <w:rPr>
          <w:sz w:val="24"/>
          <w:szCs w:val="24"/>
        </w:rPr>
        <w:t xml:space="preserve"> customers</w:t>
      </w:r>
      <w:r w:rsidR="00BE1597">
        <w:rPr>
          <w:sz w:val="24"/>
          <w:szCs w:val="24"/>
        </w:rPr>
        <w:t xml:space="preserve"> </w:t>
      </w:r>
      <w:r>
        <w:rPr>
          <w:sz w:val="24"/>
          <w:szCs w:val="24"/>
        </w:rPr>
        <w:t xml:space="preserve">on FlatBill </w:t>
      </w:r>
      <w:r w:rsidR="00BE1597">
        <w:rPr>
          <w:sz w:val="24"/>
          <w:szCs w:val="24"/>
        </w:rPr>
        <w:t>compared to</w:t>
      </w:r>
      <w:r>
        <w:rPr>
          <w:sz w:val="24"/>
          <w:szCs w:val="24"/>
        </w:rPr>
        <w:t xml:space="preserve"> customers who are not on FlatBill. </w:t>
      </w:r>
      <w:r w:rsidR="00BE1597">
        <w:rPr>
          <w:sz w:val="24"/>
          <w:szCs w:val="24"/>
        </w:rPr>
        <w:t xml:space="preserve">In addition, </w:t>
      </w:r>
      <w:r w:rsidR="00D06AA6">
        <w:rPr>
          <w:sz w:val="24"/>
          <w:szCs w:val="24"/>
        </w:rPr>
        <w:t>the Company has seen that c</w:t>
      </w:r>
      <w:r>
        <w:rPr>
          <w:sz w:val="24"/>
          <w:szCs w:val="24"/>
        </w:rPr>
        <w:t xml:space="preserve">ustomers who start on FlatBill usually renew and </w:t>
      </w:r>
      <w:r w:rsidR="00D06AA6">
        <w:rPr>
          <w:sz w:val="24"/>
          <w:szCs w:val="24"/>
        </w:rPr>
        <w:t>remain on FlatBill</w:t>
      </w:r>
      <w:r>
        <w:rPr>
          <w:sz w:val="24"/>
          <w:szCs w:val="24"/>
        </w:rPr>
        <w:t xml:space="preserve"> for many years, </w:t>
      </w:r>
      <w:r w:rsidR="00D06AA6">
        <w:rPr>
          <w:sz w:val="24"/>
          <w:szCs w:val="24"/>
        </w:rPr>
        <w:t>further</w:t>
      </w:r>
      <w:r>
        <w:rPr>
          <w:sz w:val="24"/>
          <w:szCs w:val="24"/>
        </w:rPr>
        <w:t xml:space="preserve"> indicating </w:t>
      </w:r>
      <w:r w:rsidR="00D06AA6">
        <w:rPr>
          <w:sz w:val="24"/>
          <w:szCs w:val="24"/>
        </w:rPr>
        <w:t xml:space="preserve">customer </w:t>
      </w:r>
      <w:r>
        <w:rPr>
          <w:sz w:val="24"/>
          <w:szCs w:val="24"/>
        </w:rPr>
        <w:t>satisfaction with the rate.</w:t>
      </w:r>
    </w:p>
    <w:p w14:paraId="41C65EED" w14:textId="77777777" w:rsidR="00886EB8" w:rsidRDefault="00886EB8" w:rsidP="00D06AA6">
      <w:pPr>
        <w:widowControl/>
        <w:spacing w:line="360" w:lineRule="auto"/>
        <w:ind w:left="720"/>
        <w:jc w:val="both"/>
        <w:rPr>
          <w:i/>
          <w:sz w:val="24"/>
          <w:szCs w:val="24"/>
        </w:rPr>
      </w:pPr>
    </w:p>
    <w:p w14:paraId="024C5254" w14:textId="76649A61" w:rsidR="001412EE" w:rsidRPr="000979B2" w:rsidRDefault="001412EE" w:rsidP="001412EE">
      <w:pPr>
        <w:widowControl/>
        <w:spacing w:line="360" w:lineRule="auto"/>
        <w:ind w:left="720" w:hanging="720"/>
        <w:jc w:val="both"/>
        <w:rPr>
          <w:b/>
          <w:sz w:val="24"/>
          <w:szCs w:val="24"/>
        </w:rPr>
      </w:pPr>
      <w:r w:rsidRPr="000979B2">
        <w:rPr>
          <w:b/>
          <w:sz w:val="24"/>
          <w:szCs w:val="24"/>
        </w:rPr>
        <w:t>Q.</w:t>
      </w:r>
      <w:r w:rsidRPr="000979B2">
        <w:rPr>
          <w:b/>
          <w:sz w:val="24"/>
          <w:szCs w:val="24"/>
        </w:rPr>
        <w:tab/>
        <w:t>WHY IS THE COMPANY PROPOSING TO REMOVE THE FLATBILL REQUIREMENT THAT CUSTOMER</w:t>
      </w:r>
      <w:r w:rsidR="007572B0">
        <w:rPr>
          <w:b/>
          <w:sz w:val="24"/>
          <w:szCs w:val="24"/>
        </w:rPr>
        <w:t>S</w:t>
      </w:r>
      <w:r w:rsidRPr="000979B2">
        <w:rPr>
          <w:b/>
          <w:sz w:val="24"/>
          <w:szCs w:val="24"/>
        </w:rPr>
        <w:t xml:space="preserve"> </w:t>
      </w:r>
      <w:r w:rsidR="00393B10">
        <w:rPr>
          <w:b/>
          <w:sz w:val="24"/>
          <w:szCs w:val="24"/>
        </w:rPr>
        <w:t xml:space="preserve">MUST </w:t>
      </w:r>
      <w:r w:rsidRPr="000979B2">
        <w:rPr>
          <w:b/>
          <w:sz w:val="24"/>
          <w:szCs w:val="24"/>
        </w:rPr>
        <w:t>HAVE BEEN IN THEIR CURRENT RESIDENCE OVER THE PREVIOUS 12 MONTHS?</w:t>
      </w:r>
      <w:r w:rsidR="00CE0925">
        <w:rPr>
          <w:b/>
          <w:sz w:val="24"/>
          <w:szCs w:val="24"/>
        </w:rPr>
        <w:t xml:space="preserve"> </w:t>
      </w:r>
    </w:p>
    <w:p w14:paraId="44FF0D66" w14:textId="78024804"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35183E">
        <w:rPr>
          <w:sz w:val="24"/>
          <w:szCs w:val="24"/>
        </w:rPr>
        <w:t xml:space="preserve">As noted earlier, </w:t>
      </w:r>
      <w:r w:rsidR="00A11786">
        <w:rPr>
          <w:sz w:val="24"/>
          <w:szCs w:val="24"/>
        </w:rPr>
        <w:t xml:space="preserve">FlatBill is Georgia Power’s most popular </w:t>
      </w:r>
      <w:r w:rsidR="001469B5">
        <w:rPr>
          <w:sz w:val="24"/>
          <w:szCs w:val="24"/>
        </w:rPr>
        <w:t xml:space="preserve">voluntary </w:t>
      </w:r>
      <w:r w:rsidR="00A11786">
        <w:rPr>
          <w:sz w:val="24"/>
          <w:szCs w:val="24"/>
        </w:rPr>
        <w:t xml:space="preserve">rate option as </w:t>
      </w:r>
      <w:r w:rsidR="0035183E">
        <w:rPr>
          <w:sz w:val="24"/>
          <w:szCs w:val="24"/>
        </w:rPr>
        <w:t xml:space="preserve">many </w:t>
      </w:r>
      <w:r w:rsidR="00A11786">
        <w:rPr>
          <w:sz w:val="24"/>
          <w:szCs w:val="24"/>
        </w:rPr>
        <w:t>customers value the predictability</w:t>
      </w:r>
      <w:r w:rsidR="007D5C8B">
        <w:rPr>
          <w:sz w:val="24"/>
          <w:szCs w:val="24"/>
        </w:rPr>
        <w:t xml:space="preserve"> and stability</w:t>
      </w:r>
      <w:r w:rsidR="00A11786">
        <w:rPr>
          <w:sz w:val="24"/>
          <w:szCs w:val="24"/>
        </w:rPr>
        <w:t xml:space="preserve"> of a 12-month fixed bill. Removing the FlatBill requirement that a customer must have 12 months of usage history at their current residence allows the </w:t>
      </w:r>
      <w:r w:rsidR="00B724E5">
        <w:rPr>
          <w:sz w:val="24"/>
          <w:szCs w:val="24"/>
        </w:rPr>
        <w:t>C</w:t>
      </w:r>
      <w:r w:rsidR="00A11786">
        <w:rPr>
          <w:sz w:val="24"/>
          <w:szCs w:val="24"/>
        </w:rPr>
        <w:t>ompany to expand this popular rate option</w:t>
      </w:r>
      <w:r w:rsidR="0035183E">
        <w:rPr>
          <w:sz w:val="24"/>
          <w:szCs w:val="24"/>
        </w:rPr>
        <w:t xml:space="preserve"> by making it available sooner</w:t>
      </w:r>
      <w:r w:rsidR="00A11786">
        <w:rPr>
          <w:sz w:val="24"/>
          <w:szCs w:val="24"/>
        </w:rPr>
        <w:t>. In situations where a customer has less than 12 months of usage history at their residence, prior usage history from that premises will be used to develop the FlatBill offer. To study the impacts of this change, the Company conducted a “FlatBill First Year” pilot beginning in June 2018. This pilot confirmed that customers find tremendous value in such</w:t>
      </w:r>
      <w:r w:rsidR="0035183E">
        <w:rPr>
          <w:sz w:val="24"/>
          <w:szCs w:val="24"/>
        </w:rPr>
        <w:t xml:space="preserve"> a</w:t>
      </w:r>
      <w:r w:rsidR="00A11786">
        <w:rPr>
          <w:sz w:val="24"/>
          <w:szCs w:val="24"/>
        </w:rPr>
        <w:t xml:space="preserve"> rate option with</w:t>
      </w:r>
      <w:r w:rsidR="00A11786" w:rsidRPr="009F2943">
        <w:rPr>
          <w:sz w:val="24"/>
          <w:szCs w:val="24"/>
        </w:rPr>
        <w:t xml:space="preserve"> </w:t>
      </w:r>
      <w:r w:rsidR="00A11786">
        <w:rPr>
          <w:sz w:val="24"/>
          <w:szCs w:val="24"/>
        </w:rPr>
        <w:t xml:space="preserve">a 53% take rate, a 93% renewal rate, and a mean satisfaction score of 8.3 out of 10 on the end-of-program survey. The overwhelming take rate of FlatBill First Year indicates a strong </w:t>
      </w:r>
      <w:r w:rsidR="00B724E5">
        <w:rPr>
          <w:sz w:val="24"/>
          <w:szCs w:val="24"/>
        </w:rPr>
        <w:t>customer preference</w:t>
      </w:r>
      <w:r w:rsidR="00A11786">
        <w:rPr>
          <w:sz w:val="24"/>
          <w:szCs w:val="24"/>
        </w:rPr>
        <w:t xml:space="preserve"> for this type of rate offering</w:t>
      </w:r>
      <w:r w:rsidR="0035183E">
        <w:rPr>
          <w:sz w:val="24"/>
          <w:szCs w:val="24"/>
        </w:rPr>
        <w:t>,</w:t>
      </w:r>
      <w:r w:rsidR="00A11786">
        <w:rPr>
          <w:sz w:val="24"/>
          <w:szCs w:val="24"/>
        </w:rPr>
        <w:t xml:space="preserve"> and the high renewal rate and positive survey responses indicate their continued satisfaction with the rate throughout their contract term. </w:t>
      </w:r>
    </w:p>
    <w:p w14:paraId="07B1D455" w14:textId="77777777" w:rsidR="001412EE" w:rsidRDefault="001412EE" w:rsidP="001412EE">
      <w:pPr>
        <w:widowControl/>
        <w:spacing w:line="360" w:lineRule="auto"/>
        <w:ind w:left="720" w:hanging="720"/>
        <w:jc w:val="both"/>
        <w:rPr>
          <w:sz w:val="24"/>
          <w:szCs w:val="24"/>
        </w:rPr>
      </w:pPr>
    </w:p>
    <w:p w14:paraId="4C2B75ED" w14:textId="14466136" w:rsidR="001412EE" w:rsidRPr="000979B2" w:rsidRDefault="001412EE" w:rsidP="001412EE">
      <w:pPr>
        <w:widowControl/>
        <w:spacing w:line="360" w:lineRule="auto"/>
        <w:ind w:left="720" w:hanging="720"/>
        <w:jc w:val="both"/>
        <w:rPr>
          <w:b/>
          <w:sz w:val="24"/>
          <w:szCs w:val="24"/>
        </w:rPr>
      </w:pPr>
      <w:r w:rsidRPr="000979B2">
        <w:rPr>
          <w:b/>
          <w:sz w:val="24"/>
          <w:szCs w:val="24"/>
        </w:rPr>
        <w:t>Q.</w:t>
      </w:r>
      <w:r w:rsidRPr="000979B2">
        <w:rPr>
          <w:b/>
          <w:sz w:val="24"/>
          <w:szCs w:val="24"/>
        </w:rPr>
        <w:tab/>
        <w:t>PLEASE COMMENT ON STAFF’S CONCERNS THAT CUSTOMERS CHOOSING THE FLATBILL</w:t>
      </w:r>
      <w:r w:rsidR="00A11786">
        <w:rPr>
          <w:b/>
          <w:sz w:val="24"/>
          <w:szCs w:val="24"/>
        </w:rPr>
        <w:t xml:space="preserve"> FIRST YEAR</w:t>
      </w:r>
      <w:r w:rsidRPr="000979B2">
        <w:rPr>
          <w:b/>
          <w:sz w:val="24"/>
          <w:szCs w:val="24"/>
        </w:rPr>
        <w:t xml:space="preserve"> PILOT COULD BE OVERBILLED OR UNDERBILLED COMPARED TO THE ‘R’ RATE.</w:t>
      </w:r>
    </w:p>
    <w:p w14:paraId="3A57F604" w14:textId="2FDEA19F"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A11786">
        <w:rPr>
          <w:sz w:val="24"/>
          <w:szCs w:val="24"/>
        </w:rPr>
        <w:t xml:space="preserve">The FlatBill tariff is intentionally structured to offer customers a flat, consistent </w:t>
      </w:r>
      <w:r w:rsidR="0035183E">
        <w:rPr>
          <w:sz w:val="24"/>
          <w:szCs w:val="24"/>
        </w:rPr>
        <w:t xml:space="preserve">bill </w:t>
      </w:r>
      <w:r w:rsidR="00A11786">
        <w:rPr>
          <w:sz w:val="24"/>
          <w:szCs w:val="24"/>
        </w:rPr>
        <w:t xml:space="preserve">each month of the year based on the prior 12-month historical usage at the customer’s </w:t>
      </w:r>
      <w:r w:rsidR="00A11786" w:rsidRPr="00923A1E">
        <w:rPr>
          <w:sz w:val="24"/>
          <w:szCs w:val="24"/>
        </w:rPr>
        <w:t>residence</w:t>
      </w:r>
      <w:r w:rsidR="007D5C8B" w:rsidRPr="00923A1E">
        <w:rPr>
          <w:sz w:val="24"/>
          <w:szCs w:val="24"/>
        </w:rPr>
        <w:t xml:space="preserve"> with no true-up</w:t>
      </w:r>
      <w:r w:rsidR="00A11786" w:rsidRPr="00923A1E">
        <w:rPr>
          <w:sz w:val="24"/>
          <w:szCs w:val="24"/>
        </w:rPr>
        <w:t>. Because the</w:t>
      </w:r>
      <w:r w:rsidR="00DC6084" w:rsidRPr="00923A1E">
        <w:rPr>
          <w:sz w:val="24"/>
          <w:szCs w:val="24"/>
        </w:rPr>
        <w:t xml:space="preserve"> cust</w:t>
      </w:r>
      <w:r w:rsidR="00DC6084" w:rsidRPr="00E561F4">
        <w:rPr>
          <w:sz w:val="24"/>
          <w:szCs w:val="24"/>
        </w:rPr>
        <w:t>om</w:t>
      </w:r>
      <w:r w:rsidR="00DC6084" w:rsidRPr="003168E5">
        <w:rPr>
          <w:sz w:val="24"/>
          <w:szCs w:val="24"/>
        </w:rPr>
        <w:t xml:space="preserve">er pays a flat amount </w:t>
      </w:r>
      <w:r w:rsidR="00DC6084" w:rsidRPr="0070282B">
        <w:rPr>
          <w:sz w:val="24"/>
          <w:szCs w:val="24"/>
        </w:rPr>
        <w:t>ea</w:t>
      </w:r>
      <w:r w:rsidR="00DC6084" w:rsidRPr="008D7144">
        <w:rPr>
          <w:sz w:val="24"/>
          <w:szCs w:val="24"/>
        </w:rPr>
        <w:t>ch</w:t>
      </w:r>
      <w:r w:rsidR="00DC6084" w:rsidRPr="00445408">
        <w:rPr>
          <w:sz w:val="24"/>
          <w:szCs w:val="24"/>
        </w:rPr>
        <w:t xml:space="preserve"> </w:t>
      </w:r>
      <w:r w:rsidR="00DC6084" w:rsidRPr="00923A1E">
        <w:rPr>
          <w:sz w:val="24"/>
          <w:szCs w:val="24"/>
        </w:rPr>
        <w:t>month</w:t>
      </w:r>
      <w:r w:rsidR="00923A1E">
        <w:rPr>
          <w:sz w:val="24"/>
          <w:szCs w:val="24"/>
        </w:rPr>
        <w:t xml:space="preserve">, </w:t>
      </w:r>
      <w:r w:rsidR="00A11786" w:rsidRPr="00923A1E">
        <w:rPr>
          <w:sz w:val="24"/>
          <w:szCs w:val="24"/>
        </w:rPr>
        <w:t xml:space="preserve"> </w:t>
      </w:r>
      <w:r w:rsidR="00652807">
        <w:rPr>
          <w:sz w:val="24"/>
          <w:szCs w:val="24"/>
        </w:rPr>
        <w:t>by definition</w:t>
      </w:r>
      <w:r w:rsidR="00A11786">
        <w:rPr>
          <w:sz w:val="24"/>
          <w:szCs w:val="24"/>
        </w:rPr>
        <w:t xml:space="preserve"> the customer </w:t>
      </w:r>
      <w:r w:rsidR="00652807">
        <w:rPr>
          <w:sz w:val="24"/>
          <w:szCs w:val="24"/>
        </w:rPr>
        <w:t>will pay more or less than</w:t>
      </w:r>
      <w:r w:rsidR="00A11786">
        <w:rPr>
          <w:sz w:val="24"/>
          <w:szCs w:val="24"/>
        </w:rPr>
        <w:t xml:space="preserve"> compared to a traditional bill for their actual usage. However, for </w:t>
      </w:r>
      <w:r w:rsidR="00393B10">
        <w:rPr>
          <w:sz w:val="24"/>
          <w:szCs w:val="24"/>
        </w:rPr>
        <w:t xml:space="preserve">many </w:t>
      </w:r>
      <w:r w:rsidR="00A11786">
        <w:rPr>
          <w:sz w:val="24"/>
          <w:szCs w:val="24"/>
        </w:rPr>
        <w:t xml:space="preserve">customers the value of predictability and bill stability outweighs the potential over/under paying. Georgia Power understands that not all customers may be interested in participating in such a program, therefore </w:t>
      </w:r>
      <w:r w:rsidR="003168E5">
        <w:rPr>
          <w:sz w:val="24"/>
          <w:szCs w:val="24"/>
        </w:rPr>
        <w:t xml:space="preserve">participation in </w:t>
      </w:r>
      <w:r w:rsidR="00A11786">
        <w:rPr>
          <w:sz w:val="24"/>
          <w:szCs w:val="24"/>
        </w:rPr>
        <w:t xml:space="preserve">FlatBill </w:t>
      </w:r>
      <w:r w:rsidR="003168E5">
        <w:rPr>
          <w:sz w:val="24"/>
          <w:szCs w:val="24"/>
        </w:rPr>
        <w:t>is</w:t>
      </w:r>
      <w:r w:rsidR="00A11786">
        <w:rPr>
          <w:sz w:val="24"/>
          <w:szCs w:val="24"/>
        </w:rPr>
        <w:t xml:space="preserve"> completely voluntary. However, for those customers who do participate, the feedback has been resoundingly positive, especially from the FlatBill First Year pilot participants, as demonstrated by their 93% renewal rate.</w:t>
      </w:r>
    </w:p>
    <w:p w14:paraId="5B85C707" w14:textId="23E00414" w:rsidR="001412EE" w:rsidRDefault="001412EE" w:rsidP="001412EE">
      <w:pPr>
        <w:widowControl/>
        <w:spacing w:line="360" w:lineRule="auto"/>
        <w:ind w:left="720" w:hanging="720"/>
        <w:jc w:val="both"/>
        <w:rPr>
          <w:sz w:val="24"/>
          <w:szCs w:val="24"/>
        </w:rPr>
      </w:pPr>
    </w:p>
    <w:p w14:paraId="052ADF94" w14:textId="77777777" w:rsidR="005711DF" w:rsidRDefault="005711DF" w:rsidP="005711DF">
      <w:pPr>
        <w:widowControl/>
        <w:tabs>
          <w:tab w:val="left" w:pos="3600"/>
        </w:tabs>
        <w:spacing w:line="360" w:lineRule="auto"/>
        <w:ind w:left="720" w:hanging="720"/>
        <w:jc w:val="both"/>
        <w:rPr>
          <w:b/>
          <w:sz w:val="24"/>
          <w:szCs w:val="24"/>
        </w:rPr>
      </w:pPr>
      <w:r w:rsidRPr="00706514">
        <w:rPr>
          <w:b/>
          <w:sz w:val="24"/>
          <w:szCs w:val="24"/>
        </w:rPr>
        <w:t>Q.</w:t>
      </w:r>
      <w:r w:rsidRPr="00706514">
        <w:rPr>
          <w:b/>
          <w:sz w:val="24"/>
          <w:szCs w:val="24"/>
        </w:rPr>
        <w:tab/>
      </w:r>
      <w:r>
        <w:rPr>
          <w:b/>
          <w:sz w:val="24"/>
          <w:szCs w:val="24"/>
        </w:rPr>
        <w:t xml:space="preserve">DOES THE FLATBILL PROGRAM PROVIDE A PRICE SIGNAL TO CUSTOMERS? </w:t>
      </w:r>
    </w:p>
    <w:p w14:paraId="3ADB6B8A" w14:textId="7B77BFFC" w:rsidR="005711DF" w:rsidRDefault="005711DF" w:rsidP="005711DF">
      <w:pPr>
        <w:widowControl/>
        <w:tabs>
          <w:tab w:val="left" w:pos="3600"/>
        </w:tabs>
        <w:spacing w:line="360" w:lineRule="auto"/>
        <w:ind w:left="720" w:hanging="720"/>
        <w:jc w:val="both"/>
        <w:rPr>
          <w:sz w:val="24"/>
          <w:szCs w:val="24"/>
        </w:rPr>
      </w:pPr>
      <w:r>
        <w:rPr>
          <w:sz w:val="24"/>
          <w:szCs w:val="24"/>
        </w:rPr>
        <w:t>A.</w:t>
      </w:r>
      <w:r>
        <w:rPr>
          <w:sz w:val="24"/>
          <w:szCs w:val="24"/>
        </w:rPr>
        <w:tab/>
        <w:t xml:space="preserve">Yes, there is a </w:t>
      </w:r>
      <w:r w:rsidRPr="0086466E">
        <w:rPr>
          <w:sz w:val="24"/>
          <w:szCs w:val="24"/>
        </w:rPr>
        <w:t xml:space="preserve">price signal in the FlatBill program. Even GIPL Witness </w:t>
      </w:r>
      <w:r w:rsidR="002838D8" w:rsidRPr="0086466E">
        <w:rPr>
          <w:sz w:val="24"/>
          <w:szCs w:val="24"/>
        </w:rPr>
        <w:t xml:space="preserve">Gilliam </w:t>
      </w:r>
      <w:r w:rsidR="002838D8">
        <w:rPr>
          <w:sz w:val="24"/>
          <w:szCs w:val="24"/>
        </w:rPr>
        <w:t xml:space="preserve">acknowledged that informing a customer that their renewal offer for FlatBill is based on their prior year’s usage </w:t>
      </w:r>
      <w:r w:rsidR="0086466E">
        <w:rPr>
          <w:sz w:val="24"/>
          <w:szCs w:val="24"/>
        </w:rPr>
        <w:t xml:space="preserve">is a form of price signal. (Tr. 2010.) </w:t>
      </w:r>
      <w:r>
        <w:rPr>
          <w:sz w:val="24"/>
          <w:szCs w:val="24"/>
        </w:rPr>
        <w:t xml:space="preserve">The Company’s FlatBill customers </w:t>
      </w:r>
      <w:r w:rsidR="00393B10">
        <w:rPr>
          <w:sz w:val="24"/>
          <w:szCs w:val="24"/>
        </w:rPr>
        <w:t xml:space="preserve">typically </w:t>
      </w:r>
      <w:r w:rsidR="007D5C8B">
        <w:rPr>
          <w:sz w:val="24"/>
          <w:szCs w:val="24"/>
        </w:rPr>
        <w:t xml:space="preserve">and overwhelmingly </w:t>
      </w:r>
      <w:r>
        <w:rPr>
          <w:sz w:val="24"/>
          <w:szCs w:val="24"/>
        </w:rPr>
        <w:t>continue to renew on FlatBill for several years after their initial year on the program. The renewal offers are based on the</w:t>
      </w:r>
      <w:r w:rsidR="00754233">
        <w:rPr>
          <w:sz w:val="24"/>
          <w:szCs w:val="24"/>
        </w:rPr>
        <w:t xml:space="preserve"> customer’s </w:t>
      </w:r>
      <w:r>
        <w:rPr>
          <w:sz w:val="24"/>
          <w:szCs w:val="24"/>
        </w:rPr>
        <w:t>usage o</w:t>
      </w:r>
      <w:r w:rsidR="00754233">
        <w:rPr>
          <w:sz w:val="24"/>
          <w:szCs w:val="24"/>
        </w:rPr>
        <w:t>ver</w:t>
      </w:r>
      <w:r>
        <w:rPr>
          <w:sz w:val="24"/>
          <w:szCs w:val="24"/>
        </w:rPr>
        <w:t xml:space="preserve"> the previous 12 months, and therefore </w:t>
      </w:r>
      <w:r w:rsidR="00754233">
        <w:rPr>
          <w:sz w:val="24"/>
          <w:szCs w:val="24"/>
        </w:rPr>
        <w:t xml:space="preserve">any </w:t>
      </w:r>
      <w:r>
        <w:rPr>
          <w:sz w:val="24"/>
          <w:szCs w:val="24"/>
        </w:rPr>
        <w:t xml:space="preserve">increase or decrease </w:t>
      </w:r>
      <w:r w:rsidR="00754233">
        <w:rPr>
          <w:sz w:val="24"/>
          <w:szCs w:val="24"/>
        </w:rPr>
        <w:t>in usage manifests</w:t>
      </w:r>
      <w:r w:rsidR="0035183E">
        <w:rPr>
          <w:sz w:val="24"/>
          <w:szCs w:val="24"/>
        </w:rPr>
        <w:t xml:space="preserve"> itself</w:t>
      </w:r>
      <w:r w:rsidR="00754233">
        <w:rPr>
          <w:sz w:val="24"/>
          <w:szCs w:val="24"/>
        </w:rPr>
        <w:t xml:space="preserve"> in the renewal offer </w:t>
      </w:r>
      <w:r w:rsidR="00DA29DB">
        <w:rPr>
          <w:sz w:val="24"/>
          <w:szCs w:val="24"/>
        </w:rPr>
        <w:t xml:space="preserve">for </w:t>
      </w:r>
      <w:r w:rsidR="00754233">
        <w:rPr>
          <w:sz w:val="24"/>
          <w:szCs w:val="24"/>
        </w:rPr>
        <w:t>the subsequent year</w:t>
      </w:r>
      <w:r>
        <w:rPr>
          <w:sz w:val="24"/>
          <w:szCs w:val="24"/>
        </w:rPr>
        <w:t xml:space="preserve">. </w:t>
      </w:r>
    </w:p>
    <w:p w14:paraId="4A9B34A0" w14:textId="77777777" w:rsidR="005711DF" w:rsidRDefault="005711DF" w:rsidP="001412EE">
      <w:pPr>
        <w:widowControl/>
        <w:spacing w:line="360" w:lineRule="auto"/>
        <w:ind w:left="720" w:hanging="720"/>
        <w:jc w:val="both"/>
        <w:rPr>
          <w:sz w:val="24"/>
          <w:szCs w:val="24"/>
        </w:rPr>
      </w:pPr>
    </w:p>
    <w:p w14:paraId="36312DA3" w14:textId="4133D606" w:rsidR="001412EE" w:rsidRPr="00F831AA" w:rsidRDefault="001412EE" w:rsidP="001412EE">
      <w:pPr>
        <w:widowControl/>
        <w:spacing w:line="360" w:lineRule="auto"/>
        <w:ind w:left="720" w:hanging="720"/>
        <w:jc w:val="both"/>
        <w:rPr>
          <w:b/>
          <w:sz w:val="24"/>
          <w:szCs w:val="24"/>
        </w:rPr>
      </w:pPr>
      <w:r w:rsidRPr="00F831AA">
        <w:rPr>
          <w:b/>
          <w:sz w:val="24"/>
          <w:szCs w:val="24"/>
        </w:rPr>
        <w:t xml:space="preserve">Q. </w:t>
      </w:r>
      <w:r w:rsidRPr="00F831AA">
        <w:rPr>
          <w:b/>
          <w:sz w:val="24"/>
          <w:szCs w:val="24"/>
        </w:rPr>
        <w:tab/>
        <w:t xml:space="preserve">WHY IS </w:t>
      </w:r>
      <w:r w:rsidR="00393B10">
        <w:rPr>
          <w:b/>
          <w:sz w:val="24"/>
          <w:szCs w:val="24"/>
        </w:rPr>
        <w:t>THE</w:t>
      </w:r>
      <w:r w:rsidR="00393B10" w:rsidRPr="00F831AA">
        <w:rPr>
          <w:b/>
          <w:sz w:val="24"/>
          <w:szCs w:val="24"/>
        </w:rPr>
        <w:t xml:space="preserve"> </w:t>
      </w:r>
      <w:r w:rsidRPr="00F831AA">
        <w:rPr>
          <w:b/>
          <w:sz w:val="24"/>
          <w:szCs w:val="24"/>
        </w:rPr>
        <w:t xml:space="preserve">BUDGET BILL </w:t>
      </w:r>
      <w:r w:rsidR="00A11786">
        <w:rPr>
          <w:b/>
          <w:sz w:val="24"/>
          <w:szCs w:val="24"/>
        </w:rPr>
        <w:t xml:space="preserve">FIRST YEAR </w:t>
      </w:r>
      <w:r w:rsidRPr="00F831AA">
        <w:rPr>
          <w:b/>
          <w:sz w:val="24"/>
          <w:szCs w:val="24"/>
        </w:rPr>
        <w:t xml:space="preserve">PROGRAM AN INADEQUATE </w:t>
      </w:r>
      <w:r w:rsidR="00393B10" w:rsidRPr="00F831AA">
        <w:rPr>
          <w:b/>
          <w:sz w:val="24"/>
          <w:szCs w:val="24"/>
        </w:rPr>
        <w:t>SUBSTITUT</w:t>
      </w:r>
      <w:r w:rsidR="00393B10">
        <w:rPr>
          <w:b/>
          <w:sz w:val="24"/>
          <w:szCs w:val="24"/>
        </w:rPr>
        <w:t>E</w:t>
      </w:r>
      <w:r w:rsidR="00393B10" w:rsidRPr="00F831AA">
        <w:rPr>
          <w:b/>
          <w:sz w:val="24"/>
          <w:szCs w:val="24"/>
        </w:rPr>
        <w:t xml:space="preserve"> </w:t>
      </w:r>
      <w:r w:rsidRPr="00F831AA">
        <w:rPr>
          <w:b/>
          <w:sz w:val="24"/>
          <w:szCs w:val="24"/>
        </w:rPr>
        <w:t>FOR THE COMPANY’S FLATBILL</w:t>
      </w:r>
      <w:r w:rsidR="00A11786">
        <w:rPr>
          <w:b/>
          <w:sz w:val="24"/>
          <w:szCs w:val="24"/>
        </w:rPr>
        <w:t xml:space="preserve"> FIRST YEAR</w:t>
      </w:r>
      <w:r w:rsidRPr="00F831AA">
        <w:rPr>
          <w:b/>
          <w:sz w:val="24"/>
          <w:szCs w:val="24"/>
        </w:rPr>
        <w:t xml:space="preserve"> PROGRAM?</w:t>
      </w:r>
    </w:p>
    <w:p w14:paraId="46AD87A8" w14:textId="021526DF" w:rsidR="00A11786" w:rsidRDefault="001412EE" w:rsidP="00A11786">
      <w:pPr>
        <w:widowControl/>
        <w:spacing w:line="360" w:lineRule="auto"/>
        <w:ind w:left="720" w:hanging="720"/>
        <w:jc w:val="both"/>
        <w:rPr>
          <w:sz w:val="24"/>
          <w:szCs w:val="24"/>
        </w:rPr>
      </w:pPr>
      <w:r>
        <w:rPr>
          <w:sz w:val="24"/>
          <w:szCs w:val="24"/>
        </w:rPr>
        <w:t>A.</w:t>
      </w:r>
      <w:r>
        <w:rPr>
          <w:sz w:val="24"/>
          <w:szCs w:val="24"/>
        </w:rPr>
        <w:tab/>
      </w:r>
      <w:r w:rsidR="00A11786">
        <w:rPr>
          <w:sz w:val="24"/>
          <w:szCs w:val="24"/>
        </w:rPr>
        <w:t xml:space="preserve">The Company has considered both FlatBill First Year and Budget Bill First </w:t>
      </w:r>
      <w:r w:rsidR="00061F01">
        <w:rPr>
          <w:sz w:val="24"/>
          <w:szCs w:val="24"/>
        </w:rPr>
        <w:t xml:space="preserve">Year </w:t>
      </w:r>
      <w:r w:rsidR="00A11786">
        <w:rPr>
          <w:sz w:val="24"/>
          <w:szCs w:val="24"/>
        </w:rPr>
        <w:t xml:space="preserve">programs and concluded that Budget Bill First Year </w:t>
      </w:r>
      <w:r w:rsidR="00393B10">
        <w:rPr>
          <w:sz w:val="24"/>
          <w:szCs w:val="24"/>
        </w:rPr>
        <w:t>does not adequately</w:t>
      </w:r>
      <w:r w:rsidR="00A11786">
        <w:rPr>
          <w:sz w:val="24"/>
          <w:szCs w:val="24"/>
        </w:rPr>
        <w:t xml:space="preserve"> meet customers’ fundamental desire </w:t>
      </w:r>
      <w:r w:rsidR="003168E5">
        <w:rPr>
          <w:sz w:val="24"/>
          <w:szCs w:val="24"/>
        </w:rPr>
        <w:t>for bill stability</w:t>
      </w:r>
      <w:r w:rsidR="00A11786">
        <w:rPr>
          <w:sz w:val="24"/>
          <w:szCs w:val="24"/>
        </w:rPr>
        <w:t>. Customers are typically drawn to programs like FlatBill and Budget Bill for the same reason</w:t>
      </w:r>
      <w:r w:rsidR="003D6B01">
        <w:rPr>
          <w:sz w:val="24"/>
          <w:szCs w:val="24"/>
        </w:rPr>
        <w:t>:</w:t>
      </w:r>
      <w:r w:rsidR="00A11786">
        <w:rPr>
          <w:sz w:val="24"/>
          <w:szCs w:val="24"/>
        </w:rPr>
        <w:t xml:space="preserve"> to levelize their monthly bills. However, the two programs operate very differently. FlatBill offers are guaranteed to be fixed for the entire contract period with no true</w:t>
      </w:r>
      <w:r w:rsidR="00CA6EB4">
        <w:rPr>
          <w:sz w:val="24"/>
          <w:szCs w:val="24"/>
        </w:rPr>
        <w:t>-</w:t>
      </w:r>
      <w:r w:rsidR="00A11786">
        <w:rPr>
          <w:sz w:val="24"/>
          <w:szCs w:val="24"/>
        </w:rPr>
        <w:t>up, whereas Budget Bill can vary from month</w:t>
      </w:r>
      <w:r w:rsidR="00CA6EB4">
        <w:rPr>
          <w:sz w:val="24"/>
          <w:szCs w:val="24"/>
        </w:rPr>
        <w:t>-</w:t>
      </w:r>
      <w:r w:rsidR="00A11786">
        <w:rPr>
          <w:sz w:val="24"/>
          <w:szCs w:val="24"/>
        </w:rPr>
        <w:t>to</w:t>
      </w:r>
      <w:r w:rsidR="00CA6EB4">
        <w:rPr>
          <w:sz w:val="24"/>
          <w:szCs w:val="24"/>
        </w:rPr>
        <w:t>-</w:t>
      </w:r>
      <w:r w:rsidR="00A11786">
        <w:rPr>
          <w:sz w:val="24"/>
          <w:szCs w:val="24"/>
        </w:rPr>
        <w:t>month and require</w:t>
      </w:r>
      <w:r w:rsidR="00CA6EB4">
        <w:rPr>
          <w:sz w:val="24"/>
          <w:szCs w:val="24"/>
        </w:rPr>
        <w:t>s</w:t>
      </w:r>
      <w:r w:rsidR="00A11786">
        <w:rPr>
          <w:sz w:val="24"/>
          <w:szCs w:val="24"/>
        </w:rPr>
        <w:t xml:space="preserve"> a true</w:t>
      </w:r>
      <w:r w:rsidR="00CA6EB4">
        <w:rPr>
          <w:sz w:val="24"/>
          <w:szCs w:val="24"/>
        </w:rPr>
        <w:t>-</w:t>
      </w:r>
      <w:r w:rsidR="00A11786">
        <w:rPr>
          <w:sz w:val="24"/>
          <w:szCs w:val="24"/>
        </w:rPr>
        <w:t>up</w:t>
      </w:r>
      <w:r w:rsidR="005F06C3">
        <w:rPr>
          <w:sz w:val="24"/>
          <w:szCs w:val="24"/>
        </w:rPr>
        <w:t xml:space="preserve"> each year</w:t>
      </w:r>
      <w:r w:rsidR="00A11786">
        <w:rPr>
          <w:sz w:val="24"/>
          <w:szCs w:val="24"/>
        </w:rPr>
        <w:t xml:space="preserve">. The frequency of monthly changes in Budget Bill amounts was amplified on the Budget Bill First Year pilot with over 80% experiencing a change to their bill amount throughout the 12-month period and 50% of customers experiencing two or more such changes. </w:t>
      </w:r>
      <w:r w:rsidR="00393B10">
        <w:rPr>
          <w:sz w:val="24"/>
          <w:szCs w:val="24"/>
        </w:rPr>
        <w:t xml:space="preserve">The end-of-pilot surveys clearly showed that some participants were dissatisfied and confused by the frequent bill changes they experienced. </w:t>
      </w:r>
      <w:r w:rsidR="00A11786">
        <w:rPr>
          <w:sz w:val="24"/>
          <w:szCs w:val="24"/>
        </w:rPr>
        <w:t>Put simply, customers arrive at rate options like FlatBill and Budget Bill with a desire to stabilize their monthly bill amounts. Budget Bill amounts</w:t>
      </w:r>
      <w:r w:rsidR="00E622EE">
        <w:rPr>
          <w:sz w:val="24"/>
          <w:szCs w:val="24"/>
        </w:rPr>
        <w:t xml:space="preserve"> </w:t>
      </w:r>
      <w:r w:rsidR="00A11786">
        <w:rPr>
          <w:sz w:val="24"/>
          <w:szCs w:val="24"/>
        </w:rPr>
        <w:t>can vary substantially from month</w:t>
      </w:r>
      <w:r w:rsidR="00CA6EB4">
        <w:rPr>
          <w:sz w:val="24"/>
          <w:szCs w:val="24"/>
        </w:rPr>
        <w:t>-</w:t>
      </w:r>
      <w:r w:rsidR="00A11786">
        <w:rPr>
          <w:sz w:val="24"/>
          <w:szCs w:val="24"/>
        </w:rPr>
        <w:t>to</w:t>
      </w:r>
      <w:r w:rsidR="00CA6EB4">
        <w:rPr>
          <w:sz w:val="24"/>
          <w:szCs w:val="24"/>
        </w:rPr>
        <w:t>-</w:t>
      </w:r>
      <w:r w:rsidR="00A11786">
        <w:rPr>
          <w:sz w:val="24"/>
          <w:szCs w:val="24"/>
        </w:rPr>
        <w:t xml:space="preserve">month and </w:t>
      </w:r>
      <w:r w:rsidR="009C1FC4">
        <w:rPr>
          <w:sz w:val="24"/>
          <w:szCs w:val="24"/>
        </w:rPr>
        <w:t xml:space="preserve">may </w:t>
      </w:r>
      <w:r w:rsidR="00A11786">
        <w:rPr>
          <w:sz w:val="24"/>
          <w:szCs w:val="24"/>
        </w:rPr>
        <w:t>not meet the customers’ fundamental desire for a levelized billing option. FlatBill, including FlatBill First Year, does meet this customer desire, has no true</w:t>
      </w:r>
      <w:r w:rsidR="00CA6EB4">
        <w:rPr>
          <w:sz w:val="24"/>
          <w:szCs w:val="24"/>
        </w:rPr>
        <w:t>-</w:t>
      </w:r>
      <w:r w:rsidR="00A11786">
        <w:rPr>
          <w:sz w:val="24"/>
          <w:szCs w:val="24"/>
        </w:rPr>
        <w:t xml:space="preserve">up component, and </w:t>
      </w:r>
      <w:r w:rsidR="001552A8">
        <w:rPr>
          <w:sz w:val="24"/>
          <w:szCs w:val="24"/>
        </w:rPr>
        <w:t xml:space="preserve">received </w:t>
      </w:r>
      <w:r w:rsidR="00A11786">
        <w:rPr>
          <w:sz w:val="24"/>
          <w:szCs w:val="24"/>
        </w:rPr>
        <w:t>a higher satisfaction score on its end-of-program survey</w:t>
      </w:r>
      <w:r w:rsidR="00393B10">
        <w:rPr>
          <w:sz w:val="24"/>
          <w:szCs w:val="24"/>
        </w:rPr>
        <w:t xml:space="preserve"> than Budget Bill First Year</w:t>
      </w:r>
      <w:r w:rsidR="00A11786">
        <w:rPr>
          <w:sz w:val="24"/>
          <w:szCs w:val="24"/>
        </w:rPr>
        <w:t xml:space="preserve">.  </w:t>
      </w:r>
    </w:p>
    <w:p w14:paraId="0F3195C6" w14:textId="232A66B4" w:rsidR="005711DF" w:rsidRDefault="005711DF" w:rsidP="00A11786">
      <w:pPr>
        <w:widowControl/>
        <w:spacing w:line="360" w:lineRule="auto"/>
        <w:ind w:left="720" w:hanging="720"/>
        <w:jc w:val="both"/>
        <w:rPr>
          <w:sz w:val="24"/>
          <w:szCs w:val="24"/>
        </w:rPr>
      </w:pPr>
    </w:p>
    <w:p w14:paraId="12C00BA9" w14:textId="4D9050ED" w:rsidR="005711DF" w:rsidRDefault="005711DF" w:rsidP="005711DF">
      <w:pPr>
        <w:widowControl/>
        <w:tabs>
          <w:tab w:val="left" w:pos="3600"/>
        </w:tabs>
        <w:spacing w:line="360" w:lineRule="auto"/>
        <w:ind w:left="720" w:hanging="720"/>
        <w:jc w:val="both"/>
        <w:rPr>
          <w:b/>
          <w:sz w:val="24"/>
          <w:szCs w:val="24"/>
        </w:rPr>
      </w:pPr>
      <w:r w:rsidRPr="00706514">
        <w:rPr>
          <w:b/>
          <w:sz w:val="24"/>
          <w:szCs w:val="24"/>
        </w:rPr>
        <w:t>Q.</w:t>
      </w:r>
      <w:r w:rsidRPr="00706514">
        <w:rPr>
          <w:b/>
          <w:sz w:val="24"/>
          <w:szCs w:val="24"/>
        </w:rPr>
        <w:tab/>
      </w:r>
      <w:r>
        <w:rPr>
          <w:b/>
          <w:sz w:val="24"/>
          <w:szCs w:val="24"/>
        </w:rPr>
        <w:t>DOES THE COMPANY SUPPORT THE RECOMMENDATION BY GIPL/SOUTHFACE/VOTE SOLAR TO ELIMINATE THE ADMINISTRATIVE COST WITHIN THE PREPAY RATE BASIC SERVICE CHARGE?</w:t>
      </w:r>
    </w:p>
    <w:p w14:paraId="6C8BFF93" w14:textId="7ACD755C" w:rsidR="005711DF" w:rsidRDefault="005711DF" w:rsidP="005711DF">
      <w:pPr>
        <w:widowControl/>
        <w:tabs>
          <w:tab w:val="left" w:pos="3600"/>
        </w:tabs>
        <w:spacing w:line="360" w:lineRule="auto"/>
        <w:ind w:left="720" w:hanging="720"/>
        <w:jc w:val="both"/>
        <w:rPr>
          <w:sz w:val="24"/>
          <w:szCs w:val="24"/>
        </w:rPr>
      </w:pPr>
      <w:r>
        <w:rPr>
          <w:sz w:val="24"/>
          <w:szCs w:val="24"/>
        </w:rPr>
        <w:t>A.</w:t>
      </w:r>
      <w:r>
        <w:rPr>
          <w:sz w:val="24"/>
          <w:szCs w:val="24"/>
        </w:rPr>
        <w:tab/>
        <w:t xml:space="preserve">No. </w:t>
      </w:r>
      <w:r w:rsidR="00DA29DB">
        <w:rPr>
          <w:sz w:val="24"/>
          <w:szCs w:val="24"/>
        </w:rPr>
        <w:t xml:space="preserve">The benefits identified by </w:t>
      </w:r>
      <w:r w:rsidR="00DA29DB" w:rsidRPr="005E59F2">
        <w:rPr>
          <w:sz w:val="24"/>
          <w:szCs w:val="24"/>
        </w:rPr>
        <w:t>GIPL</w:t>
      </w:r>
      <w:r w:rsidR="00DA29DB">
        <w:rPr>
          <w:sz w:val="24"/>
          <w:szCs w:val="24"/>
        </w:rPr>
        <w:t xml:space="preserve">/Southface/Vote Solar in testimony (reduced uncollectible accounts, etc.) have been accounted for in the budgeting process and have accrued to the benefit of all customers. </w:t>
      </w:r>
      <w:r>
        <w:rPr>
          <w:sz w:val="24"/>
          <w:szCs w:val="24"/>
        </w:rPr>
        <w:t xml:space="preserve">The additional $0.20 per day included in the BSC for PrePay customers is necessary to recover the administrative costs </w:t>
      </w:r>
      <w:r w:rsidR="005F06C3">
        <w:rPr>
          <w:sz w:val="24"/>
          <w:szCs w:val="24"/>
        </w:rPr>
        <w:t>specific to</w:t>
      </w:r>
      <w:r>
        <w:rPr>
          <w:sz w:val="24"/>
          <w:szCs w:val="24"/>
        </w:rPr>
        <w:t xml:space="preserve"> the PrePay program. The design of the rate – including the basic service charge – was vetted and approved by the Commission in 2014. If the additional administrative costs of the PrePay program are not paid for by the participants in the program, other customers will have to pay these costs which</w:t>
      </w:r>
      <w:r w:rsidR="007572B0">
        <w:rPr>
          <w:sz w:val="24"/>
          <w:szCs w:val="24"/>
        </w:rPr>
        <w:t xml:space="preserve"> will</w:t>
      </w:r>
      <w:r>
        <w:rPr>
          <w:sz w:val="24"/>
          <w:szCs w:val="24"/>
        </w:rPr>
        <w:t xml:space="preserve"> result in higher rates for non-PrePay participants. </w:t>
      </w:r>
    </w:p>
    <w:p w14:paraId="6C46FE49" w14:textId="77777777" w:rsidR="001412EE" w:rsidRDefault="001412EE" w:rsidP="001412EE">
      <w:pPr>
        <w:widowControl/>
        <w:spacing w:line="360" w:lineRule="auto"/>
        <w:jc w:val="both"/>
        <w:rPr>
          <w:i/>
          <w:sz w:val="24"/>
          <w:szCs w:val="24"/>
        </w:rPr>
      </w:pPr>
    </w:p>
    <w:p w14:paraId="7A96185F" w14:textId="4DE1A3CA" w:rsidR="001412EE" w:rsidRPr="00F831AA" w:rsidRDefault="001412EE" w:rsidP="00560005">
      <w:pPr>
        <w:keepNext/>
        <w:widowControl/>
        <w:spacing w:line="360" w:lineRule="auto"/>
        <w:ind w:left="720" w:hanging="720"/>
        <w:jc w:val="both"/>
        <w:rPr>
          <w:b/>
          <w:sz w:val="24"/>
          <w:szCs w:val="24"/>
        </w:rPr>
      </w:pPr>
      <w:r w:rsidRPr="00F831AA">
        <w:rPr>
          <w:b/>
          <w:sz w:val="24"/>
          <w:szCs w:val="24"/>
        </w:rPr>
        <w:t>Q.</w:t>
      </w:r>
      <w:r w:rsidRPr="00F831AA">
        <w:rPr>
          <w:b/>
          <w:sz w:val="24"/>
          <w:szCs w:val="24"/>
        </w:rPr>
        <w:tab/>
        <w:t xml:space="preserve">WHAT </w:t>
      </w:r>
      <w:r w:rsidR="00CE0925">
        <w:rPr>
          <w:b/>
          <w:sz w:val="24"/>
          <w:szCs w:val="24"/>
        </w:rPr>
        <w:t>ARE</w:t>
      </w:r>
      <w:r w:rsidR="00CE0925" w:rsidRPr="00F831AA">
        <w:rPr>
          <w:b/>
          <w:sz w:val="24"/>
          <w:szCs w:val="24"/>
        </w:rPr>
        <w:t xml:space="preserve"> </w:t>
      </w:r>
      <w:r w:rsidRPr="00F831AA">
        <w:rPr>
          <w:b/>
          <w:sz w:val="24"/>
          <w:szCs w:val="24"/>
        </w:rPr>
        <w:t>THE BENEFIT</w:t>
      </w:r>
      <w:r w:rsidR="00CE0925">
        <w:rPr>
          <w:b/>
          <w:sz w:val="24"/>
          <w:szCs w:val="24"/>
        </w:rPr>
        <w:t>S</w:t>
      </w:r>
      <w:r w:rsidRPr="00F831AA">
        <w:rPr>
          <w:b/>
          <w:sz w:val="24"/>
          <w:szCs w:val="24"/>
        </w:rPr>
        <w:t xml:space="preserve"> OF THE PAY BY DAY PROGRAM?</w:t>
      </w:r>
    </w:p>
    <w:p w14:paraId="6B31FD67" w14:textId="041AE74B" w:rsidR="001412EE" w:rsidRDefault="001412EE" w:rsidP="00560005">
      <w:pPr>
        <w:keepNext/>
        <w:widowControl/>
        <w:spacing w:line="360" w:lineRule="auto"/>
        <w:ind w:left="720" w:hanging="720"/>
        <w:jc w:val="both"/>
        <w:rPr>
          <w:sz w:val="24"/>
          <w:szCs w:val="24"/>
        </w:rPr>
      </w:pPr>
      <w:r>
        <w:rPr>
          <w:sz w:val="24"/>
          <w:szCs w:val="24"/>
        </w:rPr>
        <w:t>A.</w:t>
      </w:r>
      <w:r>
        <w:rPr>
          <w:sz w:val="24"/>
          <w:szCs w:val="24"/>
        </w:rPr>
        <w:tab/>
      </w:r>
      <w:r w:rsidR="00BE1A43" w:rsidRPr="00E30A56">
        <w:rPr>
          <w:sz w:val="24"/>
          <w:szCs w:val="24"/>
        </w:rPr>
        <w:t xml:space="preserve">This new rate option combines the convenience and control of PrePay with the </w:t>
      </w:r>
      <w:r w:rsidR="00CA6EB4">
        <w:rPr>
          <w:sz w:val="24"/>
          <w:szCs w:val="24"/>
        </w:rPr>
        <w:t>predictability</w:t>
      </w:r>
      <w:r w:rsidR="00BE1A43" w:rsidRPr="00E30A56">
        <w:rPr>
          <w:sz w:val="24"/>
          <w:szCs w:val="24"/>
        </w:rPr>
        <w:t xml:space="preserve"> of FlatBill. The rate operates like PrePay</w:t>
      </w:r>
      <w:r w:rsidR="007D5C8B">
        <w:rPr>
          <w:sz w:val="24"/>
          <w:szCs w:val="24"/>
        </w:rPr>
        <w:t xml:space="preserve"> </w:t>
      </w:r>
      <w:r w:rsidR="00BE1A43" w:rsidRPr="00E30A56">
        <w:rPr>
          <w:sz w:val="24"/>
          <w:szCs w:val="24"/>
        </w:rPr>
        <w:t>but customers are offered a fixed daily price that does not fluctuate for an entire year</w:t>
      </w:r>
      <w:r w:rsidR="00BE1A43">
        <w:t xml:space="preserve">. </w:t>
      </w:r>
      <w:r w:rsidR="00BE1A43" w:rsidRPr="00E30A56">
        <w:rPr>
          <w:sz w:val="24"/>
          <w:szCs w:val="24"/>
        </w:rPr>
        <w:t>Some of those</w:t>
      </w:r>
      <w:r w:rsidR="00BE1A43">
        <w:rPr>
          <w:sz w:val="24"/>
          <w:szCs w:val="24"/>
        </w:rPr>
        <w:t xml:space="preserve"> benefits identified by customers are that the rate is easy to understand</w:t>
      </w:r>
      <w:r w:rsidR="00CC780D">
        <w:rPr>
          <w:sz w:val="24"/>
          <w:szCs w:val="24"/>
        </w:rPr>
        <w:t>,</w:t>
      </w:r>
      <w:r w:rsidR="00BE1A43">
        <w:rPr>
          <w:sz w:val="24"/>
          <w:szCs w:val="24"/>
        </w:rPr>
        <w:t xml:space="preserve"> and it is easy to budget. Customers </w:t>
      </w:r>
      <w:r w:rsidR="00CA6EB4">
        <w:rPr>
          <w:sz w:val="24"/>
          <w:szCs w:val="24"/>
        </w:rPr>
        <w:t>experience</w:t>
      </w:r>
      <w:r w:rsidR="00BE1A43">
        <w:rPr>
          <w:sz w:val="24"/>
          <w:szCs w:val="24"/>
        </w:rPr>
        <w:t xml:space="preserve"> less stress knowing what the daily cost will be</w:t>
      </w:r>
      <w:r w:rsidR="00CA6EB4">
        <w:rPr>
          <w:sz w:val="24"/>
          <w:szCs w:val="24"/>
        </w:rPr>
        <w:t xml:space="preserve"> and</w:t>
      </w:r>
      <w:r w:rsidR="00BE1A43">
        <w:rPr>
          <w:sz w:val="24"/>
          <w:szCs w:val="24"/>
        </w:rPr>
        <w:t xml:space="preserve"> not having to worry about higher summer charges</w:t>
      </w:r>
      <w:r w:rsidR="00754233">
        <w:rPr>
          <w:sz w:val="24"/>
          <w:szCs w:val="24"/>
        </w:rPr>
        <w:t xml:space="preserve"> when PrePay prices are higher and usage increases</w:t>
      </w:r>
      <w:r w:rsidR="00BE1A43">
        <w:rPr>
          <w:sz w:val="24"/>
          <w:szCs w:val="24"/>
        </w:rPr>
        <w:t xml:space="preserve">. Customers also like avoiding high deposits and </w:t>
      </w:r>
      <w:r w:rsidR="009C1FC4">
        <w:rPr>
          <w:sz w:val="24"/>
          <w:szCs w:val="24"/>
        </w:rPr>
        <w:t xml:space="preserve">having </w:t>
      </w:r>
      <w:r w:rsidR="00BE1A43">
        <w:rPr>
          <w:sz w:val="24"/>
          <w:szCs w:val="24"/>
        </w:rPr>
        <w:t>the ability to pay off arrears</w:t>
      </w:r>
      <w:r w:rsidR="00007D5D">
        <w:rPr>
          <w:sz w:val="24"/>
          <w:szCs w:val="24"/>
        </w:rPr>
        <w:t xml:space="preserve"> amounts</w:t>
      </w:r>
      <w:r w:rsidR="00BE1A43">
        <w:rPr>
          <w:sz w:val="24"/>
          <w:szCs w:val="24"/>
        </w:rPr>
        <w:t xml:space="preserve">. </w:t>
      </w:r>
      <w:r w:rsidR="00BE1A43" w:rsidRPr="00E30A56">
        <w:rPr>
          <w:sz w:val="24"/>
          <w:szCs w:val="24"/>
        </w:rPr>
        <w:t xml:space="preserve"> </w:t>
      </w:r>
      <w:r w:rsidR="00BE1A43">
        <w:t xml:space="preserve"> </w:t>
      </w:r>
    </w:p>
    <w:p w14:paraId="77D35339" w14:textId="77777777" w:rsidR="001412EE" w:rsidRDefault="001412EE" w:rsidP="001412EE">
      <w:pPr>
        <w:widowControl/>
        <w:spacing w:line="360" w:lineRule="auto"/>
        <w:jc w:val="both"/>
        <w:rPr>
          <w:sz w:val="24"/>
          <w:szCs w:val="24"/>
        </w:rPr>
      </w:pPr>
    </w:p>
    <w:p w14:paraId="012CA6D3" w14:textId="29FE53AE" w:rsidR="001412EE" w:rsidRPr="00AF627E" w:rsidRDefault="001412EE" w:rsidP="001412EE">
      <w:pPr>
        <w:widowControl/>
        <w:spacing w:line="360" w:lineRule="auto"/>
        <w:ind w:left="720" w:hanging="720"/>
        <w:jc w:val="both"/>
        <w:rPr>
          <w:b/>
          <w:sz w:val="24"/>
          <w:szCs w:val="24"/>
        </w:rPr>
      </w:pPr>
      <w:r w:rsidRPr="00AF627E">
        <w:rPr>
          <w:b/>
          <w:sz w:val="24"/>
          <w:szCs w:val="24"/>
        </w:rPr>
        <w:t>Q.</w:t>
      </w:r>
      <w:r w:rsidRPr="00AF627E">
        <w:rPr>
          <w:b/>
          <w:sz w:val="24"/>
          <w:szCs w:val="24"/>
        </w:rPr>
        <w:tab/>
        <w:t xml:space="preserve">DID </w:t>
      </w:r>
      <w:r w:rsidR="00CA6EB4">
        <w:rPr>
          <w:b/>
          <w:sz w:val="24"/>
          <w:szCs w:val="24"/>
        </w:rPr>
        <w:t xml:space="preserve">COMMISSION </w:t>
      </w:r>
      <w:r w:rsidRPr="00AF627E">
        <w:rPr>
          <w:b/>
          <w:sz w:val="24"/>
          <w:szCs w:val="24"/>
        </w:rPr>
        <w:t xml:space="preserve">STAFF NOTIFY THE COMPANY THAT </w:t>
      </w:r>
      <w:r w:rsidR="00383AF3">
        <w:rPr>
          <w:b/>
          <w:sz w:val="24"/>
          <w:szCs w:val="24"/>
        </w:rPr>
        <w:t>CUSTOMERS HAD MADE</w:t>
      </w:r>
      <w:r w:rsidRPr="00AF627E">
        <w:rPr>
          <w:b/>
          <w:sz w:val="24"/>
          <w:szCs w:val="24"/>
        </w:rPr>
        <w:t xml:space="preserve"> COMPLAINTS ABOUT THE PAY BY DAY PROGRAM?</w:t>
      </w:r>
    </w:p>
    <w:p w14:paraId="29089C89" w14:textId="7E514E42" w:rsidR="001412EE" w:rsidRDefault="001412EE" w:rsidP="001412EE">
      <w:pPr>
        <w:widowControl/>
        <w:spacing w:line="360" w:lineRule="auto"/>
        <w:ind w:left="720" w:hanging="720"/>
        <w:jc w:val="both"/>
        <w:rPr>
          <w:sz w:val="24"/>
          <w:szCs w:val="24"/>
        </w:rPr>
      </w:pPr>
      <w:r>
        <w:rPr>
          <w:sz w:val="24"/>
          <w:szCs w:val="24"/>
        </w:rPr>
        <w:t>A.</w:t>
      </w:r>
      <w:r>
        <w:rPr>
          <w:sz w:val="24"/>
          <w:szCs w:val="24"/>
        </w:rPr>
        <w:tab/>
        <w:t xml:space="preserve">No. </w:t>
      </w:r>
      <w:r w:rsidR="00CE0925">
        <w:rPr>
          <w:sz w:val="24"/>
          <w:szCs w:val="24"/>
        </w:rPr>
        <w:t xml:space="preserve"> </w:t>
      </w:r>
    </w:p>
    <w:p w14:paraId="206CFC0F" w14:textId="77777777" w:rsidR="006210E6" w:rsidRPr="00F831AA" w:rsidRDefault="006210E6" w:rsidP="006210E6">
      <w:pPr>
        <w:widowControl/>
        <w:spacing w:line="360" w:lineRule="auto"/>
        <w:jc w:val="both"/>
        <w:rPr>
          <w:sz w:val="24"/>
          <w:szCs w:val="24"/>
        </w:rPr>
      </w:pPr>
    </w:p>
    <w:p w14:paraId="100E8CDD" w14:textId="18DED8B4" w:rsidR="006210E6" w:rsidRPr="001926BC" w:rsidRDefault="006210E6" w:rsidP="006210E6">
      <w:pPr>
        <w:widowControl/>
        <w:spacing w:line="360" w:lineRule="auto"/>
        <w:ind w:left="720" w:hanging="720"/>
        <w:jc w:val="both"/>
        <w:rPr>
          <w:b/>
          <w:sz w:val="24"/>
          <w:szCs w:val="24"/>
        </w:rPr>
      </w:pPr>
      <w:r w:rsidRPr="0069351D">
        <w:rPr>
          <w:b/>
          <w:sz w:val="24"/>
          <w:szCs w:val="24"/>
        </w:rPr>
        <w:t>Q.</w:t>
      </w:r>
      <w:r w:rsidRPr="0069351D">
        <w:rPr>
          <w:b/>
          <w:sz w:val="24"/>
          <w:szCs w:val="24"/>
        </w:rPr>
        <w:tab/>
      </w:r>
      <w:r w:rsidR="0069351D" w:rsidRPr="0069351D">
        <w:rPr>
          <w:b/>
          <w:sz w:val="24"/>
          <w:szCs w:val="24"/>
        </w:rPr>
        <w:t xml:space="preserve">PLEASE RESPOND TO PIA STAFF’S CONCERNS ABOUT THE DISCONNECT BETWEEN WINTER RELIABILITY CONCERNS IN THE COMPANY’S 2019 IRP AND THE ALLEGED ABSENCE OF SEASONAL PLANNING CONSIDERATIONS IN THE COSS AND RATE DESIGN PROPOSALS. </w:t>
      </w:r>
    </w:p>
    <w:p w14:paraId="350522A4" w14:textId="29B61395" w:rsidR="0069351D" w:rsidRDefault="00CA6EB4" w:rsidP="0069351D">
      <w:pPr>
        <w:widowControl/>
        <w:spacing w:line="360" w:lineRule="auto"/>
        <w:ind w:left="720" w:hanging="720"/>
        <w:jc w:val="both"/>
        <w:rPr>
          <w:sz w:val="24"/>
          <w:szCs w:val="24"/>
        </w:rPr>
      </w:pPr>
      <w:r>
        <w:rPr>
          <w:sz w:val="24"/>
          <w:szCs w:val="24"/>
        </w:rPr>
        <w:t>A.</w:t>
      </w:r>
      <w:r>
        <w:rPr>
          <w:sz w:val="24"/>
          <w:szCs w:val="24"/>
        </w:rPr>
        <w:tab/>
      </w:r>
      <w:r w:rsidR="0069351D">
        <w:rPr>
          <w:sz w:val="24"/>
          <w:szCs w:val="24"/>
        </w:rPr>
        <w:t>PIA Staff criticizes the Company for failing to discuss seasonal planning in its COSS and rate design and recommends the Company evaluate monthly coincident peaks when summer and winter peak demands occur using an 8-CP method. However, since Georgia Power adopted seasonal planning, the Company’s use of the 12-CP approach is now an even stronger approach than in the past. The Company must plan to have sufficient generation to serve its customers in all twelve months of the year and the 12-CP method appropriately captures the summer and winter peaks targeted through seasonal planning.</w:t>
      </w:r>
    </w:p>
    <w:p w14:paraId="4919F473" w14:textId="359F59FD" w:rsidR="00754233" w:rsidRDefault="00754233" w:rsidP="0069351D">
      <w:pPr>
        <w:widowControl/>
        <w:spacing w:line="360" w:lineRule="auto"/>
        <w:ind w:left="720" w:hanging="720"/>
        <w:jc w:val="both"/>
        <w:rPr>
          <w:sz w:val="24"/>
          <w:szCs w:val="24"/>
        </w:rPr>
      </w:pPr>
      <w:r>
        <w:rPr>
          <w:sz w:val="24"/>
          <w:szCs w:val="24"/>
        </w:rPr>
        <w:tab/>
      </w:r>
    </w:p>
    <w:p w14:paraId="3D4C177A" w14:textId="1727E29E" w:rsidR="00754233" w:rsidRDefault="00754233" w:rsidP="0069351D">
      <w:pPr>
        <w:widowControl/>
        <w:spacing w:line="360" w:lineRule="auto"/>
        <w:ind w:left="720" w:hanging="720"/>
        <w:jc w:val="both"/>
        <w:rPr>
          <w:sz w:val="24"/>
          <w:szCs w:val="24"/>
        </w:rPr>
      </w:pPr>
      <w:r>
        <w:rPr>
          <w:sz w:val="24"/>
          <w:szCs w:val="24"/>
        </w:rPr>
        <w:tab/>
        <w:t xml:space="preserve">As noted in the Company’s response to data request </w:t>
      </w:r>
      <w:r w:rsidR="009C1FC4">
        <w:rPr>
          <w:sz w:val="24"/>
          <w:szCs w:val="24"/>
        </w:rPr>
        <w:t>STF-DEA-1-1</w:t>
      </w:r>
      <w:r>
        <w:rPr>
          <w:sz w:val="24"/>
          <w:szCs w:val="24"/>
        </w:rPr>
        <w:t>, Georgia Power forecasts to remain a summer peak</w:t>
      </w:r>
      <w:r w:rsidR="009C1FC4">
        <w:rPr>
          <w:sz w:val="24"/>
          <w:szCs w:val="24"/>
        </w:rPr>
        <w:t>ing</w:t>
      </w:r>
      <w:r>
        <w:rPr>
          <w:sz w:val="24"/>
          <w:szCs w:val="24"/>
        </w:rPr>
        <w:t xml:space="preserve"> utility. While the IRP identified winter reliability concerns, the Company’s rate designs remain appropriate to address the forecasted peak loads and higher marginal costs </w:t>
      </w:r>
      <w:r w:rsidR="00FD4806">
        <w:rPr>
          <w:sz w:val="24"/>
          <w:szCs w:val="24"/>
        </w:rPr>
        <w:t xml:space="preserve">that occur </w:t>
      </w:r>
      <w:r>
        <w:rPr>
          <w:sz w:val="24"/>
          <w:szCs w:val="24"/>
        </w:rPr>
        <w:t>in summer months.</w:t>
      </w:r>
    </w:p>
    <w:p w14:paraId="54CEC273" w14:textId="77777777" w:rsidR="0069351D" w:rsidRPr="00F831AA" w:rsidRDefault="0069351D" w:rsidP="001412EE">
      <w:pPr>
        <w:widowControl/>
        <w:spacing w:line="360" w:lineRule="auto"/>
        <w:jc w:val="both"/>
        <w:rPr>
          <w:sz w:val="24"/>
          <w:szCs w:val="24"/>
        </w:rPr>
      </w:pPr>
    </w:p>
    <w:p w14:paraId="5C3DD488" w14:textId="32996F42" w:rsidR="001412EE" w:rsidRPr="001926BC" w:rsidRDefault="001412EE" w:rsidP="001412EE">
      <w:pPr>
        <w:widowControl/>
        <w:spacing w:line="360" w:lineRule="auto"/>
        <w:ind w:left="720" w:hanging="720"/>
        <w:jc w:val="both"/>
        <w:rPr>
          <w:b/>
          <w:sz w:val="24"/>
          <w:szCs w:val="24"/>
        </w:rPr>
      </w:pPr>
      <w:r w:rsidRPr="001926BC">
        <w:rPr>
          <w:b/>
          <w:sz w:val="24"/>
          <w:szCs w:val="24"/>
        </w:rPr>
        <w:t>Q.</w:t>
      </w:r>
      <w:r w:rsidRPr="001926BC">
        <w:rPr>
          <w:b/>
          <w:sz w:val="24"/>
          <w:szCs w:val="24"/>
        </w:rPr>
        <w:tab/>
      </w:r>
      <w:r>
        <w:rPr>
          <w:b/>
          <w:sz w:val="24"/>
          <w:szCs w:val="24"/>
        </w:rPr>
        <w:t>DO YOU AGREE WITH</w:t>
      </w:r>
      <w:r w:rsidRPr="001926BC">
        <w:rPr>
          <w:b/>
          <w:sz w:val="24"/>
          <w:szCs w:val="24"/>
        </w:rPr>
        <w:t xml:space="preserve"> </w:t>
      </w:r>
      <w:r w:rsidR="00005151">
        <w:rPr>
          <w:b/>
          <w:sz w:val="24"/>
          <w:szCs w:val="24"/>
        </w:rPr>
        <w:t xml:space="preserve">PIA </w:t>
      </w:r>
      <w:r w:rsidRPr="001926BC">
        <w:rPr>
          <w:b/>
          <w:sz w:val="24"/>
          <w:szCs w:val="24"/>
        </w:rPr>
        <w:t>STAFF</w:t>
      </w:r>
      <w:r w:rsidR="00005151">
        <w:rPr>
          <w:b/>
          <w:sz w:val="24"/>
          <w:szCs w:val="24"/>
        </w:rPr>
        <w:t xml:space="preserve"> AND GIPL/SOUTHFACE/VOTE SOLAR</w:t>
      </w:r>
      <w:r w:rsidRPr="001926BC">
        <w:rPr>
          <w:b/>
          <w:sz w:val="24"/>
          <w:szCs w:val="24"/>
        </w:rPr>
        <w:t xml:space="preserve">’S </w:t>
      </w:r>
      <w:r>
        <w:rPr>
          <w:b/>
          <w:sz w:val="24"/>
          <w:szCs w:val="24"/>
        </w:rPr>
        <w:t>RECOMMENDATION</w:t>
      </w:r>
      <w:r w:rsidR="00005151">
        <w:rPr>
          <w:b/>
          <w:sz w:val="24"/>
          <w:szCs w:val="24"/>
        </w:rPr>
        <w:t>S</w:t>
      </w:r>
      <w:r>
        <w:rPr>
          <w:b/>
          <w:sz w:val="24"/>
          <w:szCs w:val="24"/>
        </w:rPr>
        <w:t xml:space="preserve"> TO REPLACE THE </w:t>
      </w:r>
      <w:r w:rsidRPr="001926BC">
        <w:rPr>
          <w:b/>
          <w:sz w:val="24"/>
          <w:szCs w:val="24"/>
        </w:rPr>
        <w:t>DECLINING WINTER BLOCK RATE STRUCTURE</w:t>
      </w:r>
      <w:r>
        <w:rPr>
          <w:b/>
          <w:sz w:val="24"/>
          <w:szCs w:val="24"/>
        </w:rPr>
        <w:t xml:space="preserve"> WITH A FLAT ENERGY RATE</w:t>
      </w:r>
      <w:r w:rsidRPr="001926BC">
        <w:rPr>
          <w:b/>
          <w:sz w:val="24"/>
          <w:szCs w:val="24"/>
        </w:rPr>
        <w:t>?</w:t>
      </w:r>
    </w:p>
    <w:p w14:paraId="4B0F56B3" w14:textId="1B22D893"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315C66" w:rsidRPr="00315C66">
        <w:rPr>
          <w:sz w:val="24"/>
          <w:szCs w:val="24"/>
        </w:rPr>
        <w:t xml:space="preserve">No, the Company </w:t>
      </w:r>
      <w:r w:rsidR="0022129E">
        <w:rPr>
          <w:sz w:val="24"/>
          <w:szCs w:val="24"/>
        </w:rPr>
        <w:t xml:space="preserve">originally </w:t>
      </w:r>
      <w:r w:rsidR="00315C66" w:rsidRPr="00315C66">
        <w:rPr>
          <w:sz w:val="24"/>
          <w:szCs w:val="24"/>
        </w:rPr>
        <w:t>designed the residential rate to reflect the seasonality of costs to serve residential customers. The increasing price blocks in June through September reflect the fact that the Company’s costs are higher in the summer months. The increasing price structure provides incentives for energy efficiency and conservation. The declining block structure in the winter months recognizes that off peak costs are lower and provides price signals to reflect this reality. The declining block structure provides an economical option for customers choosing to use electric-based heating. The prices are set to more than cover the Company’s marginal costs and resulting revenues place downward pressure on rates for all customers.</w:t>
      </w:r>
    </w:p>
    <w:p w14:paraId="267DDD15" w14:textId="77777777" w:rsidR="001412EE" w:rsidRDefault="001412EE" w:rsidP="001412EE">
      <w:pPr>
        <w:widowControl/>
        <w:spacing w:line="360" w:lineRule="auto"/>
        <w:ind w:left="720" w:hanging="720"/>
        <w:jc w:val="both"/>
        <w:rPr>
          <w:sz w:val="24"/>
          <w:szCs w:val="24"/>
        </w:rPr>
      </w:pPr>
    </w:p>
    <w:p w14:paraId="4597301E" w14:textId="2922B611" w:rsidR="001412EE" w:rsidRPr="00E269E0" w:rsidRDefault="001412EE" w:rsidP="001412EE">
      <w:pPr>
        <w:widowControl/>
        <w:spacing w:line="360" w:lineRule="auto"/>
        <w:ind w:left="720" w:hanging="720"/>
        <w:jc w:val="both"/>
        <w:rPr>
          <w:b/>
          <w:sz w:val="24"/>
          <w:szCs w:val="24"/>
        </w:rPr>
      </w:pPr>
      <w:r w:rsidRPr="00E269E0">
        <w:rPr>
          <w:b/>
          <w:sz w:val="24"/>
          <w:szCs w:val="24"/>
        </w:rPr>
        <w:t>Q.</w:t>
      </w:r>
      <w:r w:rsidRPr="00E269E0">
        <w:rPr>
          <w:b/>
          <w:sz w:val="24"/>
          <w:szCs w:val="24"/>
        </w:rPr>
        <w:tab/>
        <w:t xml:space="preserve">DO YOU AGREE WITH PIA STAFF’S RECOMMENDATIONS TO </w:t>
      </w:r>
      <w:r>
        <w:rPr>
          <w:b/>
          <w:sz w:val="24"/>
          <w:szCs w:val="24"/>
        </w:rPr>
        <w:t>REEXAMINE</w:t>
      </w:r>
      <w:r w:rsidRPr="00E269E0">
        <w:rPr>
          <w:b/>
          <w:sz w:val="24"/>
          <w:szCs w:val="24"/>
        </w:rPr>
        <w:t xml:space="preserve"> THE BREAKPOINTS IN THE COMPANY’S TIERED BLOCK ENERGY RATES?</w:t>
      </w:r>
      <w:r w:rsidR="00CE0925">
        <w:rPr>
          <w:b/>
          <w:sz w:val="24"/>
          <w:szCs w:val="24"/>
        </w:rPr>
        <w:t xml:space="preserve"> </w:t>
      </w:r>
    </w:p>
    <w:p w14:paraId="541DBF4C" w14:textId="02A7FBBA"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BE1A43" w:rsidRPr="0011634B">
        <w:rPr>
          <w:sz w:val="24"/>
          <w:szCs w:val="24"/>
        </w:rPr>
        <w:t xml:space="preserve">No. Georgia Power </w:t>
      </w:r>
      <w:r w:rsidR="0011634B">
        <w:rPr>
          <w:sz w:val="24"/>
          <w:szCs w:val="24"/>
        </w:rPr>
        <w:t>continues to support the reasonableness of the</w:t>
      </w:r>
      <w:r w:rsidR="00BE1A43" w:rsidRPr="0011634B">
        <w:rPr>
          <w:sz w:val="24"/>
          <w:szCs w:val="24"/>
        </w:rPr>
        <w:t xml:space="preserve"> current breakpoints. The first breakpoint, set at 650 kWh, represents the average consumption of electricity for basic, non</w:t>
      </w:r>
      <w:r w:rsidR="009C1FC4">
        <w:rPr>
          <w:sz w:val="24"/>
          <w:szCs w:val="24"/>
        </w:rPr>
        <w:t>-</w:t>
      </w:r>
      <w:r w:rsidR="00BE1A43" w:rsidRPr="0011634B">
        <w:rPr>
          <w:sz w:val="24"/>
          <w:szCs w:val="24"/>
        </w:rPr>
        <w:t xml:space="preserve">weather sensitive </w:t>
      </w:r>
      <w:r w:rsidR="00754233">
        <w:rPr>
          <w:sz w:val="24"/>
          <w:szCs w:val="24"/>
        </w:rPr>
        <w:t xml:space="preserve">residential </w:t>
      </w:r>
      <w:r w:rsidR="00BE1A43" w:rsidRPr="0011634B">
        <w:rPr>
          <w:sz w:val="24"/>
          <w:szCs w:val="24"/>
        </w:rPr>
        <w:t xml:space="preserve">loads. </w:t>
      </w:r>
      <w:r w:rsidR="009C1FC4">
        <w:rPr>
          <w:sz w:val="24"/>
          <w:szCs w:val="24"/>
        </w:rPr>
        <w:t>The Company provided the history and basis for the design of the ‘R’ Rate in the response to STF-PIA-5-20.</w:t>
      </w:r>
    </w:p>
    <w:p w14:paraId="438B9BAF" w14:textId="77777777" w:rsidR="0011634B" w:rsidRDefault="0011634B" w:rsidP="001412EE">
      <w:pPr>
        <w:widowControl/>
        <w:spacing w:line="360" w:lineRule="auto"/>
        <w:ind w:left="720" w:hanging="720"/>
        <w:jc w:val="both"/>
        <w:rPr>
          <w:sz w:val="24"/>
          <w:szCs w:val="24"/>
        </w:rPr>
      </w:pPr>
    </w:p>
    <w:p w14:paraId="0DC5940C" w14:textId="0E098B24" w:rsidR="001412EE" w:rsidRPr="00E269E0" w:rsidRDefault="001412EE" w:rsidP="001412EE">
      <w:pPr>
        <w:widowControl/>
        <w:spacing w:line="360" w:lineRule="auto"/>
        <w:ind w:left="720" w:hanging="720"/>
        <w:jc w:val="both"/>
        <w:rPr>
          <w:b/>
          <w:sz w:val="24"/>
          <w:szCs w:val="24"/>
        </w:rPr>
      </w:pPr>
      <w:r w:rsidRPr="00E269E0">
        <w:rPr>
          <w:b/>
          <w:sz w:val="24"/>
          <w:szCs w:val="24"/>
        </w:rPr>
        <w:t>Q.</w:t>
      </w:r>
      <w:r w:rsidRPr="00E269E0">
        <w:rPr>
          <w:b/>
          <w:sz w:val="24"/>
          <w:szCs w:val="24"/>
        </w:rPr>
        <w:tab/>
        <w:t>WHY IS IT INAPPROPRIATE TO DEVELOP AN ULTRA</w:t>
      </w:r>
      <w:r w:rsidR="0011634B">
        <w:rPr>
          <w:b/>
          <w:sz w:val="24"/>
          <w:szCs w:val="24"/>
        </w:rPr>
        <w:t>-</w:t>
      </w:r>
      <w:r w:rsidRPr="00E269E0">
        <w:rPr>
          <w:b/>
          <w:sz w:val="24"/>
          <w:szCs w:val="24"/>
        </w:rPr>
        <w:t>LOW USE BLOCK RATE FOR RESIDENTIAL CUSTOMERS ON THE ‘R’ TARIFF?</w:t>
      </w:r>
      <w:r w:rsidR="00745734">
        <w:rPr>
          <w:b/>
          <w:sz w:val="24"/>
          <w:szCs w:val="24"/>
        </w:rPr>
        <w:t xml:space="preserve"> </w:t>
      </w:r>
    </w:p>
    <w:p w14:paraId="6FCD55BE" w14:textId="7A06A6BA" w:rsidR="001412EE" w:rsidRPr="00240EA7" w:rsidRDefault="001412EE" w:rsidP="001412EE">
      <w:pPr>
        <w:widowControl/>
        <w:spacing w:line="360" w:lineRule="auto"/>
        <w:ind w:left="720" w:hanging="720"/>
        <w:jc w:val="both"/>
        <w:rPr>
          <w:i/>
          <w:sz w:val="24"/>
          <w:szCs w:val="24"/>
        </w:rPr>
      </w:pPr>
      <w:r>
        <w:rPr>
          <w:sz w:val="24"/>
          <w:szCs w:val="24"/>
        </w:rPr>
        <w:t>A.</w:t>
      </w:r>
      <w:r>
        <w:rPr>
          <w:sz w:val="24"/>
          <w:szCs w:val="24"/>
        </w:rPr>
        <w:tab/>
        <w:t>If the residential block tiers were modified to include a tier for 150</w:t>
      </w:r>
      <w:r w:rsidR="00007D5D">
        <w:rPr>
          <w:sz w:val="24"/>
          <w:szCs w:val="24"/>
        </w:rPr>
        <w:t xml:space="preserve"> </w:t>
      </w:r>
      <w:r>
        <w:rPr>
          <w:sz w:val="24"/>
          <w:szCs w:val="24"/>
        </w:rPr>
        <w:t xml:space="preserve">kWh or below, the energy rate for that block would have to be dramatically increased in order for </w:t>
      </w:r>
      <w:r w:rsidR="00AC0577">
        <w:rPr>
          <w:sz w:val="24"/>
          <w:szCs w:val="24"/>
        </w:rPr>
        <w:t xml:space="preserve">the Company to recover the costs to serve </w:t>
      </w:r>
      <w:r>
        <w:rPr>
          <w:sz w:val="24"/>
          <w:szCs w:val="24"/>
        </w:rPr>
        <w:t>such “</w:t>
      </w:r>
      <w:r w:rsidR="0011634B">
        <w:rPr>
          <w:sz w:val="24"/>
          <w:szCs w:val="24"/>
        </w:rPr>
        <w:t>u</w:t>
      </w:r>
      <w:r>
        <w:rPr>
          <w:sz w:val="24"/>
          <w:szCs w:val="24"/>
        </w:rPr>
        <w:t xml:space="preserve">ltra-low” use customers. Given PIA Staff’s position on the impact of the Company’s proposed increase to the BSC for low use customers, without increasing the energy charge for the ultra-low </w:t>
      </w:r>
      <w:r w:rsidR="00120DA7">
        <w:rPr>
          <w:sz w:val="24"/>
          <w:szCs w:val="24"/>
        </w:rPr>
        <w:t xml:space="preserve">use </w:t>
      </w:r>
      <w:r>
        <w:rPr>
          <w:sz w:val="24"/>
          <w:szCs w:val="24"/>
        </w:rPr>
        <w:t xml:space="preserve">customers, the tier change suggested by PIA Staff does not </w:t>
      </w:r>
      <w:r w:rsidR="0022129E">
        <w:rPr>
          <w:sz w:val="24"/>
          <w:szCs w:val="24"/>
        </w:rPr>
        <w:t>proper</w:t>
      </w:r>
      <w:r w:rsidR="00061F01">
        <w:rPr>
          <w:sz w:val="24"/>
          <w:szCs w:val="24"/>
        </w:rPr>
        <w:t>l</w:t>
      </w:r>
      <w:r w:rsidR="0022129E">
        <w:rPr>
          <w:sz w:val="24"/>
          <w:szCs w:val="24"/>
        </w:rPr>
        <w:t>y recover cost</w:t>
      </w:r>
      <w:r>
        <w:rPr>
          <w:sz w:val="24"/>
          <w:szCs w:val="24"/>
        </w:rPr>
        <w:t>.</w:t>
      </w:r>
    </w:p>
    <w:p w14:paraId="1163457E" w14:textId="38ADF27D" w:rsidR="001412EE" w:rsidRDefault="001412EE" w:rsidP="001412EE">
      <w:pPr>
        <w:widowControl/>
        <w:spacing w:line="360" w:lineRule="auto"/>
        <w:ind w:left="720" w:hanging="720"/>
        <w:jc w:val="both"/>
        <w:rPr>
          <w:sz w:val="24"/>
          <w:szCs w:val="24"/>
        </w:rPr>
      </w:pPr>
    </w:p>
    <w:p w14:paraId="043C69E6" w14:textId="0F497FA3" w:rsidR="008D7144" w:rsidRPr="00E622EE" w:rsidRDefault="008D7144" w:rsidP="001412EE">
      <w:pPr>
        <w:widowControl/>
        <w:spacing w:line="360" w:lineRule="auto"/>
        <w:ind w:left="720" w:hanging="720"/>
        <w:jc w:val="both"/>
        <w:rPr>
          <w:b/>
          <w:sz w:val="24"/>
          <w:szCs w:val="24"/>
        </w:rPr>
      </w:pPr>
      <w:r w:rsidRPr="00E622EE">
        <w:rPr>
          <w:b/>
          <w:sz w:val="24"/>
          <w:szCs w:val="24"/>
        </w:rPr>
        <w:t>Q.</w:t>
      </w:r>
      <w:r w:rsidRPr="00E622EE">
        <w:rPr>
          <w:b/>
          <w:sz w:val="24"/>
          <w:szCs w:val="24"/>
        </w:rPr>
        <w:tab/>
      </w:r>
      <w:r w:rsidR="005449A7" w:rsidRPr="00E622EE">
        <w:rPr>
          <w:b/>
          <w:sz w:val="24"/>
          <w:szCs w:val="24"/>
        </w:rPr>
        <w:t>WHAT OTHER ISSUES DOES THE COMPANY HAVE WITH PIA STAFF’S PROPOSAL TO MAKE MAJOR MODIFICATIONS TO THE ‘R’ RATE?</w:t>
      </w:r>
    </w:p>
    <w:p w14:paraId="11B248B7" w14:textId="0346FEE9" w:rsidR="005449A7" w:rsidRDefault="005449A7" w:rsidP="001412EE">
      <w:pPr>
        <w:widowControl/>
        <w:spacing w:line="360" w:lineRule="auto"/>
        <w:ind w:left="720" w:hanging="720"/>
        <w:jc w:val="both"/>
        <w:rPr>
          <w:sz w:val="24"/>
          <w:szCs w:val="24"/>
        </w:rPr>
      </w:pPr>
      <w:r>
        <w:rPr>
          <w:sz w:val="24"/>
          <w:szCs w:val="24"/>
        </w:rPr>
        <w:t>A.</w:t>
      </w:r>
      <w:r>
        <w:rPr>
          <w:sz w:val="24"/>
          <w:szCs w:val="24"/>
        </w:rPr>
        <w:tab/>
      </w:r>
      <w:r w:rsidR="00DF4821" w:rsidRPr="00DF4821">
        <w:rPr>
          <w:sz w:val="24"/>
          <w:szCs w:val="24"/>
        </w:rPr>
        <w:t xml:space="preserve">PIA Staff is proposing several modifications to the ‘R’ Rate without any analysis or discussion regarding the impacts these changes would have on a large number of customers who are currently on that rate. The ‘R’ Rate currently serves over 1.8 million customers and it is not clear that PIA Staff has considered how their proposed modifications will be received or what steps should be taken in advance to educate customers prior to the implementation of such significant changes. Unlike moving customers to a new rate at the initiation of service or having rates available for customers to select at any point in time, PIA Staff is proposing to fundamentally alter a rate through which Georgia Power’s largest number of customers are being served without due consideration of the immediate impacts to those customers or how they might respond. This appears to be in fundamental opposition to any form of gradual movement as PIA Staff appears to advocate for in testimony. Further, the ‘R’ Rate is not </w:t>
      </w:r>
      <w:r w:rsidR="00E622EE">
        <w:rPr>
          <w:sz w:val="24"/>
          <w:szCs w:val="24"/>
        </w:rPr>
        <w:t>modern,</w:t>
      </w:r>
      <w:r w:rsidR="00DF4821" w:rsidRPr="00DF4821">
        <w:rPr>
          <w:sz w:val="24"/>
          <w:szCs w:val="24"/>
        </w:rPr>
        <w:t xml:space="preserve"> and it would be inconsistent to overhaul that rate while trying to transition customers to more modern rates.</w:t>
      </w:r>
    </w:p>
    <w:p w14:paraId="473D1546" w14:textId="77777777" w:rsidR="008D7144" w:rsidRDefault="008D7144" w:rsidP="001412EE">
      <w:pPr>
        <w:widowControl/>
        <w:spacing w:line="360" w:lineRule="auto"/>
        <w:ind w:left="720" w:hanging="720"/>
        <w:jc w:val="both"/>
        <w:rPr>
          <w:sz w:val="24"/>
          <w:szCs w:val="24"/>
        </w:rPr>
      </w:pPr>
    </w:p>
    <w:p w14:paraId="286DB0F7" w14:textId="6FF394DA" w:rsidR="001412EE" w:rsidRPr="00D020E1" w:rsidRDefault="001412EE" w:rsidP="0011634B">
      <w:pPr>
        <w:widowControl/>
        <w:spacing w:line="360" w:lineRule="auto"/>
        <w:ind w:left="720" w:hanging="720"/>
        <w:jc w:val="both"/>
        <w:rPr>
          <w:b/>
          <w:sz w:val="24"/>
          <w:szCs w:val="24"/>
        </w:rPr>
      </w:pPr>
      <w:r w:rsidRPr="00D020E1">
        <w:rPr>
          <w:b/>
          <w:sz w:val="24"/>
          <w:szCs w:val="24"/>
        </w:rPr>
        <w:t>Q.</w:t>
      </w:r>
      <w:r w:rsidRPr="00D020E1">
        <w:rPr>
          <w:b/>
          <w:sz w:val="24"/>
          <w:szCs w:val="24"/>
        </w:rPr>
        <w:tab/>
        <w:t>IS THE COMPANY PROPOSING TO ELIMINATE THE ‘R’ TARIFF?</w:t>
      </w:r>
    </w:p>
    <w:p w14:paraId="132AC46E" w14:textId="197F0909" w:rsidR="001412EE" w:rsidRDefault="001412EE" w:rsidP="001412EE">
      <w:pPr>
        <w:widowControl/>
        <w:spacing w:line="360" w:lineRule="auto"/>
        <w:ind w:left="720" w:hanging="720"/>
        <w:jc w:val="both"/>
        <w:rPr>
          <w:sz w:val="24"/>
          <w:szCs w:val="24"/>
        </w:rPr>
      </w:pPr>
      <w:r>
        <w:rPr>
          <w:sz w:val="24"/>
          <w:szCs w:val="24"/>
        </w:rPr>
        <w:t>A.</w:t>
      </w:r>
      <w:r>
        <w:rPr>
          <w:sz w:val="24"/>
          <w:szCs w:val="24"/>
        </w:rPr>
        <w:tab/>
        <w:t>No. It is a mischaracterization to describe the Company’s proposal as eliminating the</w:t>
      </w:r>
      <w:r w:rsidR="00B26EE7">
        <w:rPr>
          <w:sz w:val="24"/>
          <w:szCs w:val="24"/>
        </w:rPr>
        <w:t xml:space="preserve"> </w:t>
      </w:r>
      <w:r>
        <w:rPr>
          <w:sz w:val="24"/>
          <w:szCs w:val="24"/>
        </w:rPr>
        <w:t xml:space="preserve">‘R’ </w:t>
      </w:r>
      <w:r w:rsidR="00B26EE7">
        <w:rPr>
          <w:sz w:val="24"/>
          <w:szCs w:val="24"/>
        </w:rPr>
        <w:t>Rate.</w:t>
      </w:r>
      <w:r>
        <w:rPr>
          <w:sz w:val="24"/>
          <w:szCs w:val="24"/>
        </w:rPr>
        <w:t xml:space="preserve"> Rather, the Company is proposing to close the ‘R’ </w:t>
      </w:r>
      <w:r w:rsidR="00B26EE7">
        <w:rPr>
          <w:sz w:val="24"/>
          <w:szCs w:val="24"/>
        </w:rPr>
        <w:t>Rate</w:t>
      </w:r>
      <w:r>
        <w:rPr>
          <w:sz w:val="24"/>
          <w:szCs w:val="24"/>
        </w:rPr>
        <w:t xml:space="preserve"> to new premises as the initial step in Georgia Power’s gradual movement towards more modern rate designs that send price signals that more appropriately reflect costs. Existing customers currently on the ‘R’ </w:t>
      </w:r>
      <w:r w:rsidR="00B26EE7">
        <w:rPr>
          <w:sz w:val="24"/>
          <w:szCs w:val="24"/>
        </w:rPr>
        <w:t>Rate</w:t>
      </w:r>
      <w:r>
        <w:rPr>
          <w:sz w:val="24"/>
          <w:szCs w:val="24"/>
        </w:rPr>
        <w:t xml:space="preserve"> will not be </w:t>
      </w:r>
      <w:r w:rsidR="00007D5D">
        <w:rPr>
          <w:sz w:val="24"/>
          <w:szCs w:val="24"/>
        </w:rPr>
        <w:t>removed from</w:t>
      </w:r>
      <w:r>
        <w:rPr>
          <w:sz w:val="24"/>
          <w:szCs w:val="24"/>
        </w:rPr>
        <w:t xml:space="preserve"> the ‘R’ </w:t>
      </w:r>
      <w:r w:rsidR="00B26EE7">
        <w:rPr>
          <w:sz w:val="24"/>
          <w:szCs w:val="24"/>
        </w:rPr>
        <w:t>Rate</w:t>
      </w:r>
      <w:r>
        <w:rPr>
          <w:sz w:val="24"/>
          <w:szCs w:val="24"/>
        </w:rPr>
        <w:t xml:space="preserve"> or forced to </w:t>
      </w:r>
      <w:r w:rsidR="00007D5D">
        <w:rPr>
          <w:sz w:val="24"/>
          <w:szCs w:val="24"/>
        </w:rPr>
        <w:t xml:space="preserve">select </w:t>
      </w:r>
      <w:r>
        <w:rPr>
          <w:sz w:val="24"/>
          <w:szCs w:val="24"/>
        </w:rPr>
        <w:t>a new rate</w:t>
      </w:r>
      <w:r w:rsidR="00086E53">
        <w:rPr>
          <w:sz w:val="24"/>
          <w:szCs w:val="24"/>
        </w:rPr>
        <w:t xml:space="preserve">, nor would existing customers currently on the ‘R’ Rate </w:t>
      </w:r>
      <w:r w:rsidR="002511AD">
        <w:rPr>
          <w:sz w:val="24"/>
          <w:szCs w:val="24"/>
        </w:rPr>
        <w:t>who move</w:t>
      </w:r>
      <w:r w:rsidR="00086E53">
        <w:rPr>
          <w:sz w:val="24"/>
          <w:szCs w:val="24"/>
        </w:rPr>
        <w:t xml:space="preserve"> to another existing premises</w:t>
      </w:r>
      <w:r>
        <w:rPr>
          <w:sz w:val="24"/>
          <w:szCs w:val="24"/>
        </w:rPr>
        <w:t xml:space="preserve">. </w:t>
      </w:r>
    </w:p>
    <w:p w14:paraId="6ABE7B7D" w14:textId="77777777" w:rsidR="001412EE" w:rsidRDefault="001412EE" w:rsidP="001412EE">
      <w:pPr>
        <w:widowControl/>
        <w:spacing w:line="360" w:lineRule="auto"/>
        <w:ind w:left="720" w:hanging="720"/>
        <w:jc w:val="both"/>
        <w:rPr>
          <w:sz w:val="24"/>
          <w:szCs w:val="24"/>
        </w:rPr>
      </w:pPr>
    </w:p>
    <w:p w14:paraId="289447D9" w14:textId="77777777" w:rsidR="001412EE" w:rsidRPr="00AD0A4D" w:rsidRDefault="001412EE" w:rsidP="001412EE">
      <w:pPr>
        <w:widowControl/>
        <w:spacing w:line="360" w:lineRule="auto"/>
        <w:ind w:left="720" w:hanging="720"/>
        <w:jc w:val="both"/>
        <w:rPr>
          <w:b/>
          <w:sz w:val="24"/>
          <w:szCs w:val="24"/>
        </w:rPr>
      </w:pPr>
      <w:r w:rsidRPr="00AD0A4D">
        <w:rPr>
          <w:b/>
          <w:sz w:val="24"/>
          <w:szCs w:val="24"/>
        </w:rPr>
        <w:t xml:space="preserve">Q. </w:t>
      </w:r>
      <w:r w:rsidRPr="00AD0A4D">
        <w:rPr>
          <w:b/>
          <w:sz w:val="24"/>
          <w:szCs w:val="24"/>
        </w:rPr>
        <w:tab/>
        <w:t xml:space="preserve">HOW DOES THE COMPANY DEFINE </w:t>
      </w:r>
      <w:r>
        <w:rPr>
          <w:b/>
          <w:sz w:val="24"/>
          <w:szCs w:val="24"/>
        </w:rPr>
        <w:t xml:space="preserve">A </w:t>
      </w:r>
      <w:r w:rsidRPr="00AD0A4D">
        <w:rPr>
          <w:b/>
          <w:sz w:val="24"/>
          <w:szCs w:val="24"/>
        </w:rPr>
        <w:t>NEW PREMISES?</w:t>
      </w:r>
    </w:p>
    <w:p w14:paraId="5B9516B6" w14:textId="6165EAA3" w:rsidR="001412EE" w:rsidRDefault="001412EE" w:rsidP="001412EE">
      <w:pPr>
        <w:widowControl/>
        <w:spacing w:line="360" w:lineRule="auto"/>
        <w:ind w:left="720" w:hanging="720"/>
        <w:jc w:val="both"/>
        <w:rPr>
          <w:sz w:val="24"/>
          <w:szCs w:val="24"/>
        </w:rPr>
      </w:pPr>
      <w:r>
        <w:rPr>
          <w:sz w:val="24"/>
          <w:szCs w:val="24"/>
        </w:rPr>
        <w:t>A.</w:t>
      </w:r>
      <w:r>
        <w:rPr>
          <w:sz w:val="24"/>
          <w:szCs w:val="24"/>
        </w:rPr>
        <w:tab/>
      </w:r>
      <w:r w:rsidR="00F0734C">
        <w:rPr>
          <w:sz w:val="24"/>
          <w:szCs w:val="24"/>
        </w:rPr>
        <w:t xml:space="preserve">A new premises is defined </w:t>
      </w:r>
      <w:r w:rsidR="006E4768">
        <w:rPr>
          <w:sz w:val="24"/>
          <w:szCs w:val="24"/>
        </w:rPr>
        <w:t xml:space="preserve">as a premises </w:t>
      </w:r>
      <w:r w:rsidR="00F0734C">
        <w:rPr>
          <w:sz w:val="24"/>
          <w:szCs w:val="24"/>
        </w:rPr>
        <w:t xml:space="preserve">establishing service </w:t>
      </w:r>
      <w:r w:rsidR="006E4768">
        <w:rPr>
          <w:sz w:val="24"/>
          <w:szCs w:val="24"/>
        </w:rPr>
        <w:t xml:space="preserve">at </w:t>
      </w:r>
      <w:r w:rsidR="00F0734C">
        <w:rPr>
          <w:sz w:val="24"/>
          <w:szCs w:val="24"/>
        </w:rPr>
        <w:t xml:space="preserve">a location that has never previously received service from Georgia Power. This is usually the result of new construction but can also be a conversion of an existing </w:t>
      </w:r>
      <w:r w:rsidR="00B258D7">
        <w:rPr>
          <w:sz w:val="24"/>
          <w:szCs w:val="24"/>
        </w:rPr>
        <w:t>single-family</w:t>
      </w:r>
      <w:r w:rsidR="00F0734C">
        <w:rPr>
          <w:sz w:val="24"/>
          <w:szCs w:val="24"/>
        </w:rPr>
        <w:t xml:space="preserve"> premises to multi-family.</w:t>
      </w:r>
    </w:p>
    <w:p w14:paraId="01953DE1" w14:textId="77777777" w:rsidR="001412EE" w:rsidRDefault="001412EE" w:rsidP="001412EE">
      <w:pPr>
        <w:widowControl/>
        <w:spacing w:line="360" w:lineRule="auto"/>
        <w:ind w:left="720" w:hanging="720"/>
        <w:jc w:val="both"/>
        <w:rPr>
          <w:sz w:val="24"/>
          <w:szCs w:val="24"/>
        </w:rPr>
      </w:pPr>
    </w:p>
    <w:p w14:paraId="55739A95" w14:textId="77777777" w:rsidR="001412EE" w:rsidRPr="00AD0A4D" w:rsidRDefault="001412EE" w:rsidP="001412EE">
      <w:pPr>
        <w:widowControl/>
        <w:spacing w:line="360" w:lineRule="auto"/>
        <w:ind w:left="720" w:hanging="720"/>
        <w:jc w:val="both"/>
        <w:rPr>
          <w:b/>
          <w:sz w:val="24"/>
          <w:szCs w:val="24"/>
        </w:rPr>
      </w:pPr>
      <w:r w:rsidRPr="00AD0A4D">
        <w:rPr>
          <w:b/>
          <w:sz w:val="24"/>
          <w:szCs w:val="24"/>
        </w:rPr>
        <w:t>Q.</w:t>
      </w:r>
      <w:r w:rsidRPr="00AD0A4D">
        <w:rPr>
          <w:b/>
          <w:sz w:val="24"/>
          <w:szCs w:val="24"/>
        </w:rPr>
        <w:tab/>
        <w:t>IF THE ‘R’ TARIFF IS CLOSED</w:t>
      </w:r>
      <w:r>
        <w:rPr>
          <w:b/>
          <w:sz w:val="24"/>
          <w:szCs w:val="24"/>
        </w:rPr>
        <w:t xml:space="preserve"> TO NEW PREMISES</w:t>
      </w:r>
      <w:r w:rsidRPr="00AD0A4D">
        <w:rPr>
          <w:b/>
          <w:sz w:val="24"/>
          <w:szCs w:val="24"/>
        </w:rPr>
        <w:t>, WHAT RATE OPTIONS REMAIN FOR CUSTOMERS WITH NEW PREMISES?</w:t>
      </w:r>
    </w:p>
    <w:p w14:paraId="4EFE28A9" w14:textId="1698DD7E" w:rsidR="001412EE" w:rsidRDefault="001412EE" w:rsidP="001412EE">
      <w:pPr>
        <w:widowControl/>
        <w:spacing w:line="360" w:lineRule="auto"/>
        <w:ind w:left="720" w:hanging="720"/>
        <w:jc w:val="both"/>
        <w:rPr>
          <w:sz w:val="24"/>
          <w:szCs w:val="24"/>
        </w:rPr>
      </w:pPr>
      <w:r>
        <w:rPr>
          <w:sz w:val="24"/>
          <w:szCs w:val="24"/>
        </w:rPr>
        <w:t>A.</w:t>
      </w:r>
      <w:r>
        <w:rPr>
          <w:sz w:val="24"/>
          <w:szCs w:val="24"/>
        </w:rPr>
        <w:tab/>
        <w:t>Customers with new premises seeking to establish service will be able to select their new rate from the remaining residential rate options, including: TOU-RD</w:t>
      </w:r>
      <w:r w:rsidR="008514BC">
        <w:rPr>
          <w:sz w:val="24"/>
          <w:szCs w:val="24"/>
        </w:rPr>
        <w:t>;</w:t>
      </w:r>
      <w:r>
        <w:rPr>
          <w:sz w:val="24"/>
          <w:szCs w:val="24"/>
        </w:rPr>
        <w:t xml:space="preserve"> </w:t>
      </w:r>
      <w:r w:rsidR="00805C58">
        <w:rPr>
          <w:sz w:val="24"/>
          <w:szCs w:val="24"/>
        </w:rPr>
        <w:t>Time of Use – Residential Energy Only (“</w:t>
      </w:r>
      <w:r>
        <w:rPr>
          <w:sz w:val="24"/>
          <w:szCs w:val="24"/>
        </w:rPr>
        <w:t>TOU-REO</w:t>
      </w:r>
      <w:r w:rsidR="00805C58">
        <w:rPr>
          <w:sz w:val="24"/>
          <w:szCs w:val="24"/>
        </w:rPr>
        <w:t>”)</w:t>
      </w:r>
      <w:r w:rsidR="008514BC">
        <w:rPr>
          <w:sz w:val="24"/>
          <w:szCs w:val="24"/>
        </w:rPr>
        <w:t>;</w:t>
      </w:r>
      <w:r w:rsidR="00805C58">
        <w:rPr>
          <w:sz w:val="24"/>
          <w:szCs w:val="24"/>
        </w:rPr>
        <w:t xml:space="preserve"> Time of Use – Plug-in Electric Vehicle</w:t>
      </w:r>
      <w:r>
        <w:rPr>
          <w:sz w:val="24"/>
          <w:szCs w:val="24"/>
        </w:rPr>
        <w:t xml:space="preserve"> </w:t>
      </w:r>
      <w:r w:rsidR="00805C58">
        <w:rPr>
          <w:sz w:val="24"/>
          <w:szCs w:val="24"/>
        </w:rPr>
        <w:t>(“</w:t>
      </w:r>
      <w:r>
        <w:rPr>
          <w:sz w:val="24"/>
          <w:szCs w:val="24"/>
        </w:rPr>
        <w:t>TOU-PEV</w:t>
      </w:r>
      <w:r w:rsidR="00805C58">
        <w:rPr>
          <w:sz w:val="24"/>
          <w:szCs w:val="24"/>
        </w:rPr>
        <w:t>”)</w:t>
      </w:r>
      <w:r w:rsidR="008514BC">
        <w:rPr>
          <w:sz w:val="24"/>
          <w:szCs w:val="24"/>
        </w:rPr>
        <w:t>;</w:t>
      </w:r>
      <w:r>
        <w:rPr>
          <w:sz w:val="24"/>
          <w:szCs w:val="24"/>
        </w:rPr>
        <w:t xml:space="preserve"> or PrePay. If a customer </w:t>
      </w:r>
      <w:r w:rsidR="00805C58">
        <w:rPr>
          <w:sz w:val="24"/>
          <w:szCs w:val="24"/>
        </w:rPr>
        <w:t xml:space="preserve">at </w:t>
      </w:r>
      <w:r>
        <w:rPr>
          <w:sz w:val="24"/>
          <w:szCs w:val="24"/>
        </w:rPr>
        <w:t xml:space="preserve">a new premises does not select a rate option, the Company has proposed to use the TOU-RD rate as the new default rate for the residential customer class in lieu of the ‘R’ </w:t>
      </w:r>
      <w:r w:rsidR="00B26EE7">
        <w:rPr>
          <w:sz w:val="24"/>
          <w:szCs w:val="24"/>
        </w:rPr>
        <w:t>Rate</w:t>
      </w:r>
      <w:r>
        <w:rPr>
          <w:sz w:val="24"/>
          <w:szCs w:val="24"/>
        </w:rPr>
        <w:t xml:space="preserve">. </w:t>
      </w:r>
    </w:p>
    <w:p w14:paraId="076ABB3B" w14:textId="77777777" w:rsidR="001412EE" w:rsidRPr="00846DCD" w:rsidRDefault="001412EE" w:rsidP="001412EE">
      <w:pPr>
        <w:widowControl/>
        <w:spacing w:line="360" w:lineRule="auto"/>
        <w:ind w:left="720" w:hanging="720"/>
        <w:jc w:val="both"/>
        <w:rPr>
          <w:b/>
          <w:sz w:val="24"/>
          <w:szCs w:val="24"/>
        </w:rPr>
      </w:pPr>
    </w:p>
    <w:p w14:paraId="249D8620" w14:textId="77777777" w:rsidR="001412EE" w:rsidRPr="00846DCD" w:rsidRDefault="001412EE" w:rsidP="001412EE">
      <w:pPr>
        <w:widowControl/>
        <w:spacing w:line="360" w:lineRule="auto"/>
        <w:ind w:left="720" w:hanging="720"/>
        <w:jc w:val="both"/>
        <w:rPr>
          <w:b/>
          <w:sz w:val="24"/>
          <w:szCs w:val="24"/>
        </w:rPr>
      </w:pPr>
      <w:r w:rsidRPr="00846DCD">
        <w:rPr>
          <w:b/>
          <w:sz w:val="24"/>
          <w:szCs w:val="24"/>
        </w:rPr>
        <w:t>Q.</w:t>
      </w:r>
      <w:r w:rsidRPr="00846DCD">
        <w:rPr>
          <w:b/>
          <w:sz w:val="24"/>
          <w:szCs w:val="24"/>
        </w:rPr>
        <w:tab/>
        <w:t xml:space="preserve">IS THE COMPANY’S DECISION TO USE THE TOU-RD RATE AS THE NEW RESIDENTIAL DEFAULT RATE FOR NEW PREMISES A MANDATE TO FORCE CUSTOMERS ONTO A DEMAND RATE? </w:t>
      </w:r>
    </w:p>
    <w:p w14:paraId="4A2F3C3C" w14:textId="231C2BBA" w:rsidR="001412EE" w:rsidRDefault="001412EE" w:rsidP="001412EE">
      <w:pPr>
        <w:widowControl/>
        <w:spacing w:line="360" w:lineRule="auto"/>
        <w:ind w:left="720" w:hanging="720"/>
        <w:jc w:val="both"/>
        <w:rPr>
          <w:sz w:val="24"/>
          <w:szCs w:val="24"/>
        </w:rPr>
      </w:pPr>
      <w:r>
        <w:rPr>
          <w:sz w:val="24"/>
          <w:szCs w:val="24"/>
        </w:rPr>
        <w:t>A.</w:t>
      </w:r>
      <w:r>
        <w:rPr>
          <w:sz w:val="24"/>
          <w:szCs w:val="24"/>
        </w:rPr>
        <w:tab/>
        <w:t xml:space="preserve">No. </w:t>
      </w:r>
      <w:r w:rsidR="004F07FF">
        <w:rPr>
          <w:sz w:val="24"/>
          <w:szCs w:val="24"/>
        </w:rPr>
        <w:t>T</w:t>
      </w:r>
      <w:r>
        <w:rPr>
          <w:sz w:val="24"/>
          <w:szCs w:val="24"/>
        </w:rPr>
        <w:t xml:space="preserve">he TOU-RD rate </w:t>
      </w:r>
      <w:r w:rsidR="004F07FF">
        <w:rPr>
          <w:sz w:val="24"/>
          <w:szCs w:val="24"/>
        </w:rPr>
        <w:t xml:space="preserve">will only be set as </w:t>
      </w:r>
      <w:r>
        <w:rPr>
          <w:sz w:val="24"/>
          <w:szCs w:val="24"/>
        </w:rPr>
        <w:t xml:space="preserve">the default </w:t>
      </w:r>
      <w:r w:rsidR="004F07FF">
        <w:rPr>
          <w:sz w:val="24"/>
          <w:szCs w:val="24"/>
        </w:rPr>
        <w:t xml:space="preserve">for a </w:t>
      </w:r>
      <w:r>
        <w:rPr>
          <w:sz w:val="24"/>
          <w:szCs w:val="24"/>
        </w:rPr>
        <w:t xml:space="preserve">new </w:t>
      </w:r>
      <w:r w:rsidR="004F07FF">
        <w:rPr>
          <w:sz w:val="24"/>
          <w:szCs w:val="24"/>
        </w:rPr>
        <w:t xml:space="preserve">residential </w:t>
      </w:r>
      <w:r>
        <w:rPr>
          <w:sz w:val="24"/>
          <w:szCs w:val="24"/>
        </w:rPr>
        <w:t xml:space="preserve">premises </w:t>
      </w:r>
      <w:r w:rsidR="004F07FF">
        <w:rPr>
          <w:sz w:val="24"/>
          <w:szCs w:val="24"/>
        </w:rPr>
        <w:t>if</w:t>
      </w:r>
      <w:r>
        <w:rPr>
          <w:sz w:val="24"/>
          <w:szCs w:val="24"/>
        </w:rPr>
        <w:t xml:space="preserve"> a customer does not select a different rate. Proposing to use TOU-RD as the new default residential rate is not a mandate or requirement to force residential customers onto a specific rate. </w:t>
      </w:r>
    </w:p>
    <w:p w14:paraId="1126B5FF" w14:textId="77777777" w:rsidR="001412EE" w:rsidRDefault="001412EE" w:rsidP="001412EE">
      <w:pPr>
        <w:widowControl/>
        <w:spacing w:line="360" w:lineRule="auto"/>
        <w:ind w:left="720" w:hanging="720"/>
        <w:jc w:val="both"/>
        <w:rPr>
          <w:sz w:val="24"/>
          <w:szCs w:val="24"/>
        </w:rPr>
      </w:pPr>
    </w:p>
    <w:p w14:paraId="1520B634" w14:textId="300F1AD7" w:rsidR="001412EE" w:rsidRPr="005729F4" w:rsidRDefault="001412EE" w:rsidP="001412EE">
      <w:pPr>
        <w:widowControl/>
        <w:spacing w:line="360" w:lineRule="auto"/>
        <w:ind w:left="720" w:hanging="720"/>
        <w:jc w:val="both"/>
        <w:rPr>
          <w:b/>
          <w:sz w:val="24"/>
          <w:szCs w:val="24"/>
        </w:rPr>
      </w:pPr>
      <w:r w:rsidRPr="005729F4">
        <w:rPr>
          <w:b/>
          <w:sz w:val="24"/>
          <w:szCs w:val="24"/>
        </w:rPr>
        <w:t>Q.</w:t>
      </w:r>
      <w:r w:rsidRPr="005729F4">
        <w:rPr>
          <w:b/>
          <w:sz w:val="24"/>
          <w:szCs w:val="24"/>
        </w:rPr>
        <w:tab/>
        <w:t>WHY IS THE TOU-RD RATE A BETTER DEFAULT RATE THAN TOU-REO AS PROPOSED BY PIA STAFF?</w:t>
      </w:r>
      <w:r w:rsidR="00745734">
        <w:rPr>
          <w:b/>
          <w:sz w:val="24"/>
          <w:szCs w:val="24"/>
        </w:rPr>
        <w:t xml:space="preserve"> </w:t>
      </w:r>
    </w:p>
    <w:p w14:paraId="07278777" w14:textId="6441EB5A" w:rsidR="001412EE" w:rsidRDefault="001412EE" w:rsidP="00A61785">
      <w:pPr>
        <w:widowControl/>
        <w:spacing w:line="360" w:lineRule="auto"/>
        <w:ind w:left="720" w:hanging="720"/>
        <w:jc w:val="both"/>
        <w:rPr>
          <w:sz w:val="24"/>
          <w:szCs w:val="24"/>
        </w:rPr>
      </w:pPr>
      <w:r>
        <w:rPr>
          <w:sz w:val="24"/>
          <w:szCs w:val="24"/>
        </w:rPr>
        <w:t>A.</w:t>
      </w:r>
      <w:r>
        <w:rPr>
          <w:sz w:val="24"/>
          <w:szCs w:val="24"/>
        </w:rPr>
        <w:tab/>
        <w:t>TOU-RD is a modern, three-part rate that sends price signals that more appropriately reflect costs. In addition, the TOU-RD rate is less volatile than the TOU-REO rate</w:t>
      </w:r>
      <w:r w:rsidR="00805C58">
        <w:rPr>
          <w:sz w:val="24"/>
          <w:szCs w:val="24"/>
        </w:rPr>
        <w:t xml:space="preserve"> from a monthly billing standpoint</w:t>
      </w:r>
      <w:r>
        <w:rPr>
          <w:sz w:val="24"/>
          <w:szCs w:val="24"/>
        </w:rPr>
        <w:t xml:space="preserve">. As a default rate for residential customers, the Company recommends using the comparatively less volatile rate, TOU-RD. Further, PIA Staff Witness Faryniarz admitted that Staff failed to </w:t>
      </w:r>
      <w:r w:rsidR="001F42E5">
        <w:rPr>
          <w:sz w:val="24"/>
          <w:szCs w:val="24"/>
        </w:rPr>
        <w:t>investigate</w:t>
      </w:r>
      <w:r>
        <w:rPr>
          <w:sz w:val="24"/>
          <w:szCs w:val="24"/>
        </w:rPr>
        <w:t xml:space="preserve"> the rate volatility of the TOU-REO rate compared to the other rate options before making their recommendation.</w:t>
      </w:r>
      <w:r w:rsidR="0011634B">
        <w:rPr>
          <w:sz w:val="24"/>
          <w:szCs w:val="24"/>
        </w:rPr>
        <w:t xml:space="preserve"> (</w:t>
      </w:r>
      <w:r w:rsidR="001F42E5">
        <w:rPr>
          <w:sz w:val="24"/>
          <w:szCs w:val="24"/>
        </w:rPr>
        <w:t>Tr. 1761</w:t>
      </w:r>
      <w:r w:rsidR="0011634B">
        <w:rPr>
          <w:sz w:val="24"/>
          <w:szCs w:val="24"/>
        </w:rPr>
        <w:t>.)</w:t>
      </w:r>
      <w:r>
        <w:rPr>
          <w:sz w:val="24"/>
          <w:szCs w:val="24"/>
        </w:rPr>
        <w:t xml:space="preserve"> </w:t>
      </w:r>
      <w:r w:rsidR="001F42E5">
        <w:rPr>
          <w:sz w:val="24"/>
          <w:szCs w:val="24"/>
        </w:rPr>
        <w:t>An</w:t>
      </w:r>
      <w:r w:rsidR="00A61785" w:rsidRPr="00A61785">
        <w:rPr>
          <w:sz w:val="24"/>
          <w:szCs w:val="24"/>
        </w:rPr>
        <w:t xml:space="preserve"> example of the bill volatility between </w:t>
      </w:r>
      <w:r w:rsidR="00B26EE7">
        <w:rPr>
          <w:sz w:val="24"/>
          <w:szCs w:val="24"/>
        </w:rPr>
        <w:t xml:space="preserve">the </w:t>
      </w:r>
      <w:r w:rsidR="0011634B">
        <w:rPr>
          <w:sz w:val="24"/>
          <w:szCs w:val="24"/>
        </w:rPr>
        <w:t>‘</w:t>
      </w:r>
      <w:r w:rsidR="00A61785" w:rsidRPr="00A61785">
        <w:rPr>
          <w:sz w:val="24"/>
          <w:szCs w:val="24"/>
        </w:rPr>
        <w:t>R</w:t>
      </w:r>
      <w:r w:rsidR="0011634B">
        <w:rPr>
          <w:sz w:val="24"/>
          <w:szCs w:val="24"/>
        </w:rPr>
        <w:t>’</w:t>
      </w:r>
      <w:r w:rsidR="00B26EE7">
        <w:rPr>
          <w:sz w:val="24"/>
          <w:szCs w:val="24"/>
        </w:rPr>
        <w:t xml:space="preserve"> Rate</w:t>
      </w:r>
      <w:r w:rsidR="00A61785" w:rsidRPr="00A61785">
        <w:rPr>
          <w:sz w:val="24"/>
          <w:szCs w:val="24"/>
        </w:rPr>
        <w:t xml:space="preserve">, TOU-REO and TOU-RD </w:t>
      </w:r>
      <w:r w:rsidR="009A15C6">
        <w:rPr>
          <w:sz w:val="24"/>
          <w:szCs w:val="24"/>
        </w:rPr>
        <w:t xml:space="preserve">for the average residential customer </w:t>
      </w:r>
      <w:r w:rsidR="001F42E5">
        <w:rPr>
          <w:sz w:val="24"/>
          <w:szCs w:val="24"/>
        </w:rPr>
        <w:t xml:space="preserve">is shown </w:t>
      </w:r>
      <w:r w:rsidR="00A61785" w:rsidRPr="00A61785">
        <w:rPr>
          <w:sz w:val="24"/>
          <w:szCs w:val="24"/>
        </w:rPr>
        <w:t xml:space="preserve">below in Figure 1. </w:t>
      </w:r>
      <w:r w:rsidR="009A15C6">
        <w:rPr>
          <w:sz w:val="24"/>
          <w:szCs w:val="24"/>
        </w:rPr>
        <w:t xml:space="preserve">This shows that TOU-RD is much less volatile than either TOU-REO or the ‘R’ Rate </w:t>
      </w:r>
      <w:r w:rsidR="00805C58">
        <w:rPr>
          <w:sz w:val="24"/>
          <w:szCs w:val="24"/>
        </w:rPr>
        <w:t>when comparing the difference between minimum and maximum bills over a given year</w:t>
      </w:r>
      <w:r w:rsidR="00A61785" w:rsidRPr="00A61785">
        <w:rPr>
          <w:sz w:val="24"/>
          <w:szCs w:val="24"/>
        </w:rPr>
        <w:t>.</w:t>
      </w:r>
    </w:p>
    <w:p w14:paraId="1514C2E0" w14:textId="48FCE8FC" w:rsidR="00EC1220" w:rsidRDefault="00EC1220" w:rsidP="00A61785">
      <w:pPr>
        <w:widowControl/>
        <w:spacing w:line="360" w:lineRule="auto"/>
        <w:ind w:left="720" w:hanging="720"/>
        <w:jc w:val="both"/>
        <w:rPr>
          <w:sz w:val="24"/>
          <w:szCs w:val="24"/>
        </w:rPr>
      </w:pPr>
    </w:p>
    <w:p w14:paraId="79A03469" w14:textId="77777777" w:rsidR="00EC1220" w:rsidRPr="00B258D7" w:rsidRDefault="00EC1220" w:rsidP="00B258D7">
      <w:pPr>
        <w:keepNext/>
        <w:widowControl/>
        <w:spacing w:line="360" w:lineRule="auto"/>
        <w:ind w:left="187" w:hanging="187"/>
        <w:jc w:val="center"/>
        <w:rPr>
          <w:b/>
          <w:sz w:val="24"/>
          <w:szCs w:val="24"/>
          <w:u w:val="single"/>
        </w:rPr>
      </w:pPr>
      <w:r w:rsidRPr="00B258D7">
        <w:rPr>
          <w:b/>
          <w:sz w:val="24"/>
          <w:szCs w:val="24"/>
          <w:u w:val="single"/>
        </w:rPr>
        <w:t>Figure 1</w:t>
      </w:r>
    </w:p>
    <w:p w14:paraId="12078899" w14:textId="5A32ACDD" w:rsidR="00EC1220" w:rsidRDefault="00317B72" w:rsidP="0011634B">
      <w:pPr>
        <w:keepNext/>
        <w:widowControl/>
        <w:spacing w:line="360" w:lineRule="auto"/>
        <w:ind w:left="360"/>
        <w:jc w:val="center"/>
        <w:rPr>
          <w:sz w:val="24"/>
          <w:szCs w:val="24"/>
        </w:rPr>
      </w:pPr>
      <w:r>
        <w:rPr>
          <w:noProof/>
          <w:sz w:val="24"/>
          <w:szCs w:val="24"/>
        </w:rPr>
        <w:drawing>
          <wp:inline distT="0" distB="0" distL="0" distR="0" wp14:anchorId="760A5875" wp14:editId="553056A6">
            <wp:extent cx="3905250" cy="21817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7702" cy="2216645"/>
                    </a:xfrm>
                    <a:prstGeom prst="rect">
                      <a:avLst/>
                    </a:prstGeom>
                    <a:noFill/>
                  </pic:spPr>
                </pic:pic>
              </a:graphicData>
            </a:graphic>
          </wp:inline>
        </w:drawing>
      </w:r>
    </w:p>
    <w:p w14:paraId="2982EB28" w14:textId="0CB3EF40" w:rsidR="00EC1220" w:rsidRDefault="00EC1220" w:rsidP="00183B1F">
      <w:pPr>
        <w:widowControl/>
        <w:spacing w:line="360" w:lineRule="auto"/>
        <w:jc w:val="both"/>
        <w:rPr>
          <w:sz w:val="24"/>
          <w:szCs w:val="24"/>
        </w:rPr>
      </w:pPr>
    </w:p>
    <w:p w14:paraId="1284992E" w14:textId="3F8DCB2A" w:rsidR="001412EE" w:rsidRPr="00836561" w:rsidRDefault="001412EE" w:rsidP="001412EE">
      <w:pPr>
        <w:widowControl/>
        <w:spacing w:line="360" w:lineRule="auto"/>
        <w:ind w:left="720" w:hanging="720"/>
        <w:jc w:val="both"/>
        <w:rPr>
          <w:b/>
          <w:sz w:val="24"/>
          <w:szCs w:val="24"/>
        </w:rPr>
      </w:pPr>
      <w:r w:rsidRPr="00836561">
        <w:rPr>
          <w:b/>
          <w:sz w:val="24"/>
          <w:szCs w:val="24"/>
        </w:rPr>
        <w:t>Q.</w:t>
      </w:r>
      <w:r w:rsidRPr="00836561">
        <w:rPr>
          <w:b/>
          <w:sz w:val="24"/>
          <w:szCs w:val="24"/>
        </w:rPr>
        <w:tab/>
        <w:t>PLEASE RESPOND TO PIA STAFF’S ASSERTION THAT TOU-RD WILL BE CONFUSING TO NEW CUSTOMERS WHO DON’T HAVE ENOUGH EDUCATION</w:t>
      </w:r>
      <w:r w:rsidR="00471110">
        <w:rPr>
          <w:b/>
          <w:sz w:val="24"/>
          <w:szCs w:val="24"/>
        </w:rPr>
        <w:t xml:space="preserve"> ON THE RATE</w:t>
      </w:r>
      <w:r w:rsidRPr="00836561">
        <w:rPr>
          <w:b/>
          <w:sz w:val="24"/>
          <w:szCs w:val="24"/>
        </w:rPr>
        <w:t xml:space="preserve"> OR ACCESS TO DATA TO MINIMIZE THEIR BILLS.</w:t>
      </w:r>
    </w:p>
    <w:p w14:paraId="03F52EFD" w14:textId="4FEECBA3" w:rsidR="001412EE" w:rsidRDefault="001412EE" w:rsidP="001412EE">
      <w:pPr>
        <w:widowControl/>
        <w:spacing w:line="360" w:lineRule="auto"/>
        <w:ind w:left="720" w:hanging="720"/>
        <w:jc w:val="both"/>
        <w:rPr>
          <w:sz w:val="24"/>
          <w:szCs w:val="24"/>
        </w:rPr>
      </w:pPr>
      <w:r>
        <w:rPr>
          <w:sz w:val="24"/>
          <w:szCs w:val="24"/>
        </w:rPr>
        <w:t>A.</w:t>
      </w:r>
      <w:r>
        <w:rPr>
          <w:sz w:val="24"/>
          <w:szCs w:val="24"/>
        </w:rPr>
        <w:tab/>
        <w:t>Georgia Power disagrees with PIA Staff’s assertion that customers cannot understand the TOU-RD rate. Customers understand that when pricing is higher in certain hours they can shift their energy usage to lower</w:t>
      </w:r>
      <w:r w:rsidR="00805C58">
        <w:rPr>
          <w:sz w:val="24"/>
          <w:szCs w:val="24"/>
        </w:rPr>
        <w:t>-</w:t>
      </w:r>
      <w:r>
        <w:rPr>
          <w:sz w:val="24"/>
          <w:szCs w:val="24"/>
        </w:rPr>
        <w:t>price</w:t>
      </w:r>
      <w:r w:rsidR="00805C58">
        <w:rPr>
          <w:sz w:val="24"/>
          <w:szCs w:val="24"/>
        </w:rPr>
        <w:t>d</w:t>
      </w:r>
      <w:r>
        <w:rPr>
          <w:sz w:val="24"/>
          <w:szCs w:val="24"/>
        </w:rPr>
        <w:t xml:space="preserve"> hours to save money. </w:t>
      </w:r>
      <w:r w:rsidR="009A15C6">
        <w:rPr>
          <w:sz w:val="24"/>
          <w:szCs w:val="24"/>
        </w:rPr>
        <w:t>C</w:t>
      </w:r>
      <w:r>
        <w:rPr>
          <w:sz w:val="24"/>
          <w:szCs w:val="24"/>
        </w:rPr>
        <w:t xml:space="preserve">ustomers are fully capable of grasping the concept that under a demand rate they </w:t>
      </w:r>
      <w:r w:rsidR="00805C58">
        <w:rPr>
          <w:sz w:val="24"/>
          <w:szCs w:val="24"/>
        </w:rPr>
        <w:t>can save money by not</w:t>
      </w:r>
      <w:r>
        <w:rPr>
          <w:sz w:val="24"/>
          <w:szCs w:val="24"/>
        </w:rPr>
        <w:t xml:space="preserve"> run</w:t>
      </w:r>
      <w:r w:rsidR="00805C58">
        <w:rPr>
          <w:sz w:val="24"/>
          <w:szCs w:val="24"/>
        </w:rPr>
        <w:t>ning</w:t>
      </w:r>
      <w:r>
        <w:rPr>
          <w:sz w:val="24"/>
          <w:szCs w:val="24"/>
        </w:rPr>
        <w:t xml:space="preserve"> major appliances at the same time. </w:t>
      </w:r>
      <w:r w:rsidR="00745734">
        <w:rPr>
          <w:sz w:val="24"/>
          <w:szCs w:val="24"/>
        </w:rPr>
        <w:t xml:space="preserve">Additionally, customers who have enrolled on the TOU-RD rate have </w:t>
      </w:r>
      <w:r w:rsidR="00CF60DD">
        <w:rPr>
          <w:sz w:val="24"/>
          <w:szCs w:val="24"/>
        </w:rPr>
        <w:t>remained on the rate for several years</w:t>
      </w:r>
      <w:r w:rsidR="00A70116">
        <w:rPr>
          <w:sz w:val="24"/>
          <w:szCs w:val="24"/>
        </w:rPr>
        <w:t>, which</w:t>
      </w:r>
      <w:r w:rsidR="00E77A32">
        <w:rPr>
          <w:sz w:val="24"/>
          <w:szCs w:val="24"/>
        </w:rPr>
        <w:t xml:space="preserve"> indicate</w:t>
      </w:r>
      <w:r w:rsidR="00471110">
        <w:rPr>
          <w:sz w:val="24"/>
          <w:szCs w:val="24"/>
        </w:rPr>
        <w:t>s</w:t>
      </w:r>
      <w:r w:rsidR="00E77A32">
        <w:rPr>
          <w:sz w:val="24"/>
          <w:szCs w:val="24"/>
        </w:rPr>
        <w:t xml:space="preserve"> that they</w:t>
      </w:r>
      <w:r w:rsidR="00745734">
        <w:rPr>
          <w:sz w:val="24"/>
          <w:szCs w:val="24"/>
        </w:rPr>
        <w:t xml:space="preserve"> understand the </w:t>
      </w:r>
      <w:r w:rsidR="00BA5823">
        <w:rPr>
          <w:sz w:val="24"/>
          <w:szCs w:val="24"/>
        </w:rPr>
        <w:t>rate.</w:t>
      </w:r>
      <w:r w:rsidR="00E77A32">
        <w:rPr>
          <w:sz w:val="24"/>
          <w:szCs w:val="24"/>
        </w:rPr>
        <w:t xml:space="preserve"> </w:t>
      </w:r>
      <w:r w:rsidR="00CD21F3">
        <w:rPr>
          <w:sz w:val="24"/>
          <w:szCs w:val="24"/>
        </w:rPr>
        <w:t>Further,</w:t>
      </w:r>
      <w:r w:rsidR="00E77A32">
        <w:rPr>
          <w:sz w:val="24"/>
          <w:szCs w:val="24"/>
        </w:rPr>
        <w:t xml:space="preserve"> surveys have shown that TOU-RD customers are satisfied with the rate and their experience on it. </w:t>
      </w:r>
      <w:r w:rsidR="005D3095">
        <w:rPr>
          <w:sz w:val="24"/>
          <w:szCs w:val="24"/>
        </w:rPr>
        <w:t>The Company regularly helps customers understand how its rate options work through its customer care center and with helpful online videos.</w:t>
      </w:r>
    </w:p>
    <w:p w14:paraId="70185901" w14:textId="77777777" w:rsidR="001412EE" w:rsidRDefault="001412EE" w:rsidP="001412EE">
      <w:pPr>
        <w:widowControl/>
        <w:spacing w:line="360" w:lineRule="auto"/>
        <w:ind w:left="720" w:hanging="720"/>
        <w:jc w:val="both"/>
        <w:rPr>
          <w:sz w:val="24"/>
          <w:szCs w:val="24"/>
        </w:rPr>
      </w:pPr>
    </w:p>
    <w:p w14:paraId="711B64EF" w14:textId="39847E64" w:rsidR="001412EE" w:rsidRDefault="001412EE" w:rsidP="001412EE">
      <w:pPr>
        <w:widowControl/>
        <w:spacing w:line="360" w:lineRule="auto"/>
        <w:ind w:left="720" w:hanging="720"/>
        <w:jc w:val="both"/>
        <w:rPr>
          <w:sz w:val="24"/>
          <w:szCs w:val="24"/>
        </w:rPr>
      </w:pPr>
      <w:r w:rsidRPr="00A23ED1">
        <w:rPr>
          <w:b/>
          <w:sz w:val="24"/>
          <w:szCs w:val="24"/>
        </w:rPr>
        <w:t>Q.</w:t>
      </w:r>
      <w:r>
        <w:rPr>
          <w:sz w:val="24"/>
          <w:szCs w:val="24"/>
        </w:rPr>
        <w:tab/>
      </w:r>
      <w:r w:rsidRPr="00311F3A">
        <w:rPr>
          <w:b/>
          <w:sz w:val="24"/>
          <w:szCs w:val="24"/>
        </w:rPr>
        <w:t xml:space="preserve">DO YOU AGREE WITH </w:t>
      </w:r>
      <w:r w:rsidR="00141F5A">
        <w:rPr>
          <w:b/>
          <w:sz w:val="24"/>
          <w:szCs w:val="24"/>
        </w:rPr>
        <w:t xml:space="preserve">PIA </w:t>
      </w:r>
      <w:r w:rsidRPr="00311F3A">
        <w:rPr>
          <w:b/>
          <w:sz w:val="24"/>
          <w:szCs w:val="24"/>
        </w:rPr>
        <w:t>STAFF’S RECOMMENDATION TO REVISE THE TOU-RD TARIFF TO BASE THE</w:t>
      </w:r>
      <w:r w:rsidR="00805C58">
        <w:rPr>
          <w:b/>
          <w:sz w:val="24"/>
          <w:szCs w:val="24"/>
        </w:rPr>
        <w:t xml:space="preserve"> DEMAND</w:t>
      </w:r>
      <w:r w:rsidRPr="00311F3A">
        <w:rPr>
          <w:b/>
          <w:sz w:val="24"/>
          <w:szCs w:val="24"/>
        </w:rPr>
        <w:t xml:space="preserve"> BILLING DETERMINANT ON A SHORT WINDOW OF TIME DURING WHICH GEORGIA POWER IS VIRTUALLY CERTAIN TO PEAK?</w:t>
      </w:r>
    </w:p>
    <w:p w14:paraId="42FC227B" w14:textId="25D0CD12" w:rsidR="001412EE" w:rsidRDefault="001412EE" w:rsidP="00B00D44">
      <w:pPr>
        <w:widowControl/>
        <w:spacing w:line="360" w:lineRule="auto"/>
        <w:ind w:left="720" w:hanging="720"/>
        <w:jc w:val="both"/>
        <w:rPr>
          <w:sz w:val="24"/>
          <w:szCs w:val="24"/>
        </w:rPr>
      </w:pPr>
      <w:r>
        <w:rPr>
          <w:sz w:val="24"/>
          <w:szCs w:val="24"/>
        </w:rPr>
        <w:t>A.</w:t>
      </w:r>
      <w:r>
        <w:rPr>
          <w:sz w:val="24"/>
          <w:szCs w:val="24"/>
        </w:rPr>
        <w:tab/>
        <w:t xml:space="preserve">No. The Company’s TOU-RD rate is appropriately designed in its current structure to base the demand charge billing determinant on the customer’s monthly non-coincident peak demand. </w:t>
      </w:r>
      <w:r w:rsidR="00CF60DD">
        <w:rPr>
          <w:sz w:val="24"/>
          <w:szCs w:val="24"/>
        </w:rPr>
        <w:t xml:space="preserve">If the demand billing determinant </w:t>
      </w:r>
      <w:r w:rsidR="00805C58">
        <w:rPr>
          <w:sz w:val="24"/>
          <w:szCs w:val="24"/>
        </w:rPr>
        <w:t xml:space="preserve">were </w:t>
      </w:r>
      <w:r w:rsidR="00CF60DD">
        <w:rPr>
          <w:sz w:val="24"/>
          <w:szCs w:val="24"/>
        </w:rPr>
        <w:t xml:space="preserve">based strictly on a short on-peak </w:t>
      </w:r>
      <w:r w:rsidR="003436F2">
        <w:rPr>
          <w:sz w:val="24"/>
          <w:szCs w:val="24"/>
        </w:rPr>
        <w:t>period</w:t>
      </w:r>
      <w:r w:rsidR="00CF60DD">
        <w:rPr>
          <w:sz w:val="24"/>
          <w:szCs w:val="24"/>
        </w:rPr>
        <w:t>, there would be much greater potential for bill volatility due to the</w:t>
      </w:r>
      <w:r w:rsidR="003436F2" w:rsidRPr="003436F2">
        <w:rPr>
          <w:sz w:val="24"/>
          <w:szCs w:val="24"/>
        </w:rPr>
        <w:t xml:space="preserve"> </w:t>
      </w:r>
      <w:r w:rsidR="003436F2">
        <w:rPr>
          <w:sz w:val="24"/>
          <w:szCs w:val="24"/>
        </w:rPr>
        <w:t>customer’s usage</w:t>
      </w:r>
      <w:r w:rsidR="00CF60DD">
        <w:rPr>
          <w:sz w:val="24"/>
          <w:szCs w:val="24"/>
        </w:rPr>
        <w:t xml:space="preserve"> variance from month</w:t>
      </w:r>
      <w:r w:rsidR="00141F5A">
        <w:rPr>
          <w:sz w:val="24"/>
          <w:szCs w:val="24"/>
        </w:rPr>
        <w:t>-</w:t>
      </w:r>
      <w:r w:rsidR="00CF60DD">
        <w:rPr>
          <w:sz w:val="24"/>
          <w:szCs w:val="24"/>
        </w:rPr>
        <w:t>to</w:t>
      </w:r>
      <w:r w:rsidR="00141F5A">
        <w:rPr>
          <w:sz w:val="24"/>
          <w:szCs w:val="24"/>
        </w:rPr>
        <w:t>-</w:t>
      </w:r>
      <w:r w:rsidR="00CF60DD">
        <w:rPr>
          <w:sz w:val="24"/>
          <w:szCs w:val="24"/>
        </w:rPr>
        <w:t>month and year</w:t>
      </w:r>
      <w:r w:rsidR="00141F5A">
        <w:rPr>
          <w:sz w:val="24"/>
          <w:szCs w:val="24"/>
        </w:rPr>
        <w:t>-</w:t>
      </w:r>
      <w:r w:rsidR="00CF60DD">
        <w:rPr>
          <w:sz w:val="24"/>
          <w:szCs w:val="24"/>
        </w:rPr>
        <w:t>to</w:t>
      </w:r>
      <w:r w:rsidR="00141F5A">
        <w:rPr>
          <w:sz w:val="24"/>
          <w:szCs w:val="24"/>
        </w:rPr>
        <w:t>-</w:t>
      </w:r>
      <w:r w:rsidR="00CF60DD">
        <w:rPr>
          <w:sz w:val="24"/>
          <w:szCs w:val="24"/>
        </w:rPr>
        <w:t>year during this finite window. This is in direct contra</w:t>
      </w:r>
      <w:r w:rsidR="003436F2">
        <w:rPr>
          <w:sz w:val="24"/>
          <w:szCs w:val="24"/>
        </w:rPr>
        <w:t>s</w:t>
      </w:r>
      <w:r w:rsidR="00CF60DD">
        <w:rPr>
          <w:sz w:val="24"/>
          <w:szCs w:val="24"/>
        </w:rPr>
        <w:t xml:space="preserve">t to </w:t>
      </w:r>
      <w:r w:rsidR="00141F5A">
        <w:rPr>
          <w:sz w:val="24"/>
          <w:szCs w:val="24"/>
        </w:rPr>
        <w:t xml:space="preserve">PIA </w:t>
      </w:r>
      <w:r w:rsidR="00CF60DD">
        <w:rPr>
          <w:sz w:val="24"/>
          <w:szCs w:val="24"/>
        </w:rPr>
        <w:t xml:space="preserve">Staff’s argument that </w:t>
      </w:r>
      <w:r w:rsidR="003436F2">
        <w:rPr>
          <w:sz w:val="24"/>
          <w:szCs w:val="24"/>
        </w:rPr>
        <w:t xml:space="preserve">the </w:t>
      </w:r>
      <w:r w:rsidR="00141F5A">
        <w:rPr>
          <w:sz w:val="24"/>
          <w:szCs w:val="24"/>
        </w:rPr>
        <w:t>non-coincident peak</w:t>
      </w:r>
      <w:r w:rsidR="003436F2">
        <w:rPr>
          <w:sz w:val="24"/>
          <w:szCs w:val="24"/>
        </w:rPr>
        <w:t xml:space="preserve"> design </w:t>
      </w:r>
      <w:r w:rsidR="00B00D44">
        <w:rPr>
          <w:sz w:val="24"/>
          <w:szCs w:val="24"/>
        </w:rPr>
        <w:t>causes bill instability. Staff also fails to recognize that the current design of TOU-RD includes a time-of-use energy component that send</w:t>
      </w:r>
      <w:r w:rsidR="00061F01">
        <w:rPr>
          <w:sz w:val="24"/>
          <w:szCs w:val="24"/>
        </w:rPr>
        <w:t>s</w:t>
      </w:r>
      <w:r w:rsidR="00B00D44">
        <w:rPr>
          <w:sz w:val="24"/>
          <w:szCs w:val="24"/>
        </w:rPr>
        <w:t xml:space="preserve"> an appropriate price signal to customers. </w:t>
      </w:r>
      <w:r>
        <w:rPr>
          <w:sz w:val="24"/>
          <w:szCs w:val="24"/>
        </w:rPr>
        <w:t xml:space="preserve">The TOU-RD tariff is a modern, three-part rate that is a model for the modern rates the Company hopes to expand. </w:t>
      </w:r>
    </w:p>
    <w:p w14:paraId="5E6FE045" w14:textId="34CF4364" w:rsidR="000B3D94" w:rsidRDefault="000B3D94" w:rsidP="00B00D44">
      <w:pPr>
        <w:widowControl/>
        <w:spacing w:line="360" w:lineRule="auto"/>
        <w:ind w:left="720" w:hanging="720"/>
        <w:jc w:val="both"/>
        <w:rPr>
          <w:sz w:val="24"/>
          <w:szCs w:val="24"/>
        </w:rPr>
      </w:pPr>
    </w:p>
    <w:p w14:paraId="330599F6" w14:textId="49B897EA" w:rsidR="001412EE" w:rsidRDefault="001412EE" w:rsidP="00471110">
      <w:pPr>
        <w:keepNext/>
        <w:widowControl/>
        <w:spacing w:line="360" w:lineRule="auto"/>
        <w:jc w:val="both"/>
        <w:rPr>
          <w:i/>
          <w:sz w:val="24"/>
          <w:szCs w:val="24"/>
        </w:rPr>
      </w:pPr>
      <w:r>
        <w:rPr>
          <w:i/>
          <w:sz w:val="24"/>
          <w:szCs w:val="24"/>
        </w:rPr>
        <w:t>Commercial</w:t>
      </w:r>
      <w:r w:rsidR="005D3095">
        <w:rPr>
          <w:i/>
          <w:sz w:val="24"/>
          <w:szCs w:val="24"/>
        </w:rPr>
        <w:t xml:space="preserve"> and Industrial</w:t>
      </w:r>
      <w:r>
        <w:rPr>
          <w:i/>
          <w:sz w:val="24"/>
          <w:szCs w:val="24"/>
        </w:rPr>
        <w:t xml:space="preserve"> Rates</w:t>
      </w:r>
    </w:p>
    <w:p w14:paraId="792E3404" w14:textId="77777777" w:rsidR="00E77A32" w:rsidRDefault="00E77A32" w:rsidP="002511AD">
      <w:pPr>
        <w:keepNext/>
        <w:widowControl/>
        <w:spacing w:line="360" w:lineRule="auto"/>
        <w:ind w:left="720" w:hanging="720"/>
        <w:jc w:val="both"/>
        <w:rPr>
          <w:b/>
          <w:sz w:val="24"/>
          <w:szCs w:val="24"/>
        </w:rPr>
      </w:pPr>
    </w:p>
    <w:p w14:paraId="24A88F6E" w14:textId="01DAA694" w:rsidR="00E77A32" w:rsidRPr="00971969" w:rsidRDefault="00E77A32" w:rsidP="002511AD">
      <w:pPr>
        <w:keepNext/>
        <w:widowControl/>
        <w:spacing w:line="360" w:lineRule="auto"/>
        <w:ind w:left="720" w:hanging="720"/>
        <w:jc w:val="both"/>
        <w:rPr>
          <w:b/>
          <w:sz w:val="24"/>
          <w:szCs w:val="24"/>
        </w:rPr>
      </w:pPr>
      <w:r w:rsidRPr="00971969">
        <w:rPr>
          <w:b/>
          <w:sz w:val="24"/>
          <w:szCs w:val="24"/>
        </w:rPr>
        <w:t>Q.</w:t>
      </w:r>
      <w:r w:rsidR="004B01DB">
        <w:rPr>
          <w:b/>
          <w:sz w:val="24"/>
          <w:szCs w:val="24"/>
        </w:rPr>
        <w:tab/>
      </w:r>
      <w:r w:rsidRPr="00971969">
        <w:rPr>
          <w:b/>
          <w:sz w:val="24"/>
          <w:szCs w:val="24"/>
        </w:rPr>
        <w:t xml:space="preserve">FOR CUSTOMERS WHO WILL BE TRANSITIONED FROM THE MLM TARIFF TO </w:t>
      </w:r>
      <w:r w:rsidR="009646BF">
        <w:rPr>
          <w:b/>
          <w:sz w:val="24"/>
          <w:szCs w:val="24"/>
        </w:rPr>
        <w:t>TIME OF USE – REVENUE NEUTRAL (“</w:t>
      </w:r>
      <w:r w:rsidRPr="00971969">
        <w:rPr>
          <w:b/>
          <w:sz w:val="24"/>
          <w:szCs w:val="24"/>
        </w:rPr>
        <w:t>TOU-RN</w:t>
      </w:r>
      <w:r w:rsidR="009646BF">
        <w:rPr>
          <w:b/>
          <w:sz w:val="24"/>
          <w:szCs w:val="24"/>
        </w:rPr>
        <w:t>”)</w:t>
      </w:r>
      <w:r w:rsidRPr="00971969">
        <w:rPr>
          <w:b/>
          <w:sz w:val="24"/>
          <w:szCs w:val="24"/>
        </w:rPr>
        <w:t xml:space="preserve"> FOR THEIR CUSTOMER BASELINE LOAD (</w:t>
      </w:r>
      <w:r>
        <w:rPr>
          <w:b/>
          <w:sz w:val="24"/>
          <w:szCs w:val="24"/>
        </w:rPr>
        <w:t>“</w:t>
      </w:r>
      <w:r w:rsidRPr="00971969">
        <w:rPr>
          <w:b/>
          <w:sz w:val="24"/>
          <w:szCs w:val="24"/>
        </w:rPr>
        <w:t>CBL</w:t>
      </w:r>
      <w:r>
        <w:rPr>
          <w:b/>
          <w:sz w:val="24"/>
          <w:szCs w:val="24"/>
        </w:rPr>
        <w:t>”</w:t>
      </w:r>
      <w:r w:rsidRPr="00971969">
        <w:rPr>
          <w:b/>
          <w:sz w:val="24"/>
          <w:szCs w:val="24"/>
        </w:rPr>
        <w:t>), DOES GEORGIA POWER SUPPORT ALLOWING CUSTOMERS TO SELECT A DIFFERENT CBL RATE?</w:t>
      </w:r>
    </w:p>
    <w:p w14:paraId="7193334B" w14:textId="2C53788D" w:rsidR="00E77A32" w:rsidRPr="00857062" w:rsidRDefault="00E77A32" w:rsidP="00E77A32">
      <w:pPr>
        <w:widowControl/>
        <w:spacing w:line="360" w:lineRule="auto"/>
        <w:ind w:left="720" w:hanging="720"/>
        <w:jc w:val="both"/>
        <w:rPr>
          <w:sz w:val="24"/>
          <w:szCs w:val="24"/>
        </w:rPr>
      </w:pPr>
      <w:r w:rsidRPr="00857062">
        <w:rPr>
          <w:sz w:val="24"/>
          <w:szCs w:val="24"/>
        </w:rPr>
        <w:t>A.</w:t>
      </w:r>
      <w:r>
        <w:rPr>
          <w:sz w:val="24"/>
          <w:szCs w:val="24"/>
        </w:rPr>
        <w:tab/>
      </w:r>
      <w:r w:rsidRPr="00857062">
        <w:rPr>
          <w:sz w:val="24"/>
          <w:szCs w:val="24"/>
        </w:rPr>
        <w:t>No, Georgia Power does not support allowing customers to choose a CBL rate other than TOU-RN.</w:t>
      </w:r>
      <w:r>
        <w:rPr>
          <w:sz w:val="24"/>
          <w:szCs w:val="24"/>
        </w:rPr>
        <w:t xml:space="preserve"> </w:t>
      </w:r>
      <w:r w:rsidRPr="00857062">
        <w:rPr>
          <w:sz w:val="24"/>
          <w:szCs w:val="24"/>
        </w:rPr>
        <w:t xml:space="preserve">TOU-RN was created for situations </w:t>
      </w:r>
      <w:r w:rsidR="007D5C8B">
        <w:rPr>
          <w:sz w:val="24"/>
          <w:szCs w:val="24"/>
        </w:rPr>
        <w:t>like this</w:t>
      </w:r>
      <w:r w:rsidRPr="00857062">
        <w:rPr>
          <w:sz w:val="24"/>
          <w:szCs w:val="24"/>
        </w:rPr>
        <w:t xml:space="preserve">, to migrate customers to new rates on a revenue neutral basis when the original rate is being eliminated. Customers who currently have MLM as their CBL tariff will transition to TOU-RN on a revenue neutral basis and with the same total CBL cost as before the transition. </w:t>
      </w:r>
      <w:r w:rsidR="00BD1E26">
        <w:rPr>
          <w:sz w:val="24"/>
          <w:szCs w:val="24"/>
        </w:rPr>
        <w:t>The Company</w:t>
      </w:r>
      <w:r w:rsidRPr="00857062">
        <w:rPr>
          <w:sz w:val="24"/>
          <w:szCs w:val="24"/>
        </w:rPr>
        <w:t xml:space="preserve"> must ensure that the CBL revenue and kWh remain the same in order to ensure this revenue neutrality</w:t>
      </w:r>
      <w:r w:rsidR="00471110">
        <w:rPr>
          <w:sz w:val="24"/>
          <w:szCs w:val="24"/>
        </w:rPr>
        <w:t xml:space="preserve"> and to avoid revenue erosi</w:t>
      </w:r>
      <w:r w:rsidR="005960FA">
        <w:rPr>
          <w:sz w:val="24"/>
          <w:szCs w:val="24"/>
        </w:rPr>
        <w:t>o</w:t>
      </w:r>
      <w:r w:rsidR="00471110">
        <w:rPr>
          <w:sz w:val="24"/>
          <w:szCs w:val="24"/>
        </w:rPr>
        <w:t>n.</w:t>
      </w:r>
      <w:r w:rsidRPr="00857062">
        <w:rPr>
          <w:sz w:val="24"/>
          <w:szCs w:val="24"/>
        </w:rPr>
        <w:t xml:space="preserve"> </w:t>
      </w:r>
      <w:r w:rsidR="005960FA">
        <w:rPr>
          <w:sz w:val="24"/>
          <w:szCs w:val="24"/>
        </w:rPr>
        <w:t>T</w:t>
      </w:r>
      <w:r w:rsidRPr="00857062">
        <w:rPr>
          <w:sz w:val="24"/>
          <w:szCs w:val="24"/>
        </w:rPr>
        <w:t xml:space="preserve">his would not occur if customers </w:t>
      </w:r>
      <w:r w:rsidR="00FE1D05">
        <w:rPr>
          <w:sz w:val="24"/>
          <w:szCs w:val="24"/>
        </w:rPr>
        <w:t xml:space="preserve">were allowed </w:t>
      </w:r>
      <w:r w:rsidRPr="00857062">
        <w:rPr>
          <w:sz w:val="24"/>
          <w:szCs w:val="24"/>
        </w:rPr>
        <w:t>to select a different CBL rate.</w:t>
      </w:r>
    </w:p>
    <w:p w14:paraId="78F02FBB" w14:textId="77777777" w:rsidR="001412EE" w:rsidRDefault="001412EE" w:rsidP="001412EE">
      <w:pPr>
        <w:keepNext/>
        <w:widowControl/>
        <w:spacing w:line="360" w:lineRule="auto"/>
        <w:jc w:val="both"/>
        <w:rPr>
          <w:i/>
          <w:sz w:val="24"/>
          <w:szCs w:val="24"/>
        </w:rPr>
      </w:pPr>
    </w:p>
    <w:p w14:paraId="31641012" w14:textId="6F353FA7" w:rsidR="001412EE" w:rsidRDefault="001412EE" w:rsidP="001412EE">
      <w:pPr>
        <w:widowControl/>
        <w:spacing w:line="360" w:lineRule="auto"/>
        <w:ind w:left="720" w:hanging="720"/>
        <w:jc w:val="both"/>
        <w:rPr>
          <w:b/>
          <w:sz w:val="24"/>
          <w:szCs w:val="24"/>
        </w:rPr>
      </w:pPr>
      <w:r w:rsidRPr="002E7806">
        <w:rPr>
          <w:b/>
          <w:sz w:val="24"/>
          <w:szCs w:val="24"/>
        </w:rPr>
        <w:t>Q.</w:t>
      </w:r>
      <w:r w:rsidRPr="002E7806">
        <w:rPr>
          <w:b/>
          <w:sz w:val="24"/>
          <w:szCs w:val="24"/>
        </w:rPr>
        <w:tab/>
      </w:r>
      <w:r w:rsidR="00C21CE2">
        <w:rPr>
          <w:b/>
          <w:sz w:val="24"/>
          <w:szCs w:val="24"/>
        </w:rPr>
        <w:t xml:space="preserve">WHAT IS THE ARGUMENT AGAINST </w:t>
      </w:r>
      <w:r w:rsidR="00C21CE2" w:rsidRPr="002E7806">
        <w:rPr>
          <w:b/>
          <w:sz w:val="24"/>
          <w:szCs w:val="24"/>
        </w:rPr>
        <w:t>APPLICATION OF THE TOU-MB TARIFF</w:t>
      </w:r>
      <w:r w:rsidR="00C21CE2">
        <w:rPr>
          <w:b/>
          <w:sz w:val="24"/>
          <w:szCs w:val="24"/>
        </w:rPr>
        <w:t xml:space="preserve"> MADE BY PIA STAFF AND THE GEORGIA RESTAURANT ASSOCIATION (“GRA”)</w:t>
      </w:r>
      <w:r w:rsidRPr="002E7806">
        <w:rPr>
          <w:b/>
          <w:sz w:val="24"/>
          <w:szCs w:val="24"/>
        </w:rPr>
        <w:t>?</w:t>
      </w:r>
    </w:p>
    <w:p w14:paraId="66C9552F" w14:textId="4209CF61" w:rsidR="001412EE" w:rsidRDefault="001412EE" w:rsidP="001412EE">
      <w:pPr>
        <w:widowControl/>
        <w:spacing w:line="360" w:lineRule="auto"/>
        <w:ind w:left="720" w:hanging="720"/>
        <w:jc w:val="both"/>
        <w:rPr>
          <w:sz w:val="24"/>
          <w:szCs w:val="24"/>
        </w:rPr>
      </w:pPr>
      <w:r>
        <w:rPr>
          <w:sz w:val="24"/>
          <w:szCs w:val="24"/>
        </w:rPr>
        <w:t>A.</w:t>
      </w:r>
      <w:r>
        <w:rPr>
          <w:sz w:val="24"/>
          <w:szCs w:val="24"/>
        </w:rPr>
        <w:tab/>
        <w:t>PIA Staff claims that it was revealed upon cross examination of Mr. Legg that the “TOU-MB rate was available only to franchise-run and owned restaurants, but not individually-owned franchise label or non-franchise restaurants.” According to PIA Staff</w:t>
      </w:r>
      <w:r w:rsidR="00C21CE2">
        <w:rPr>
          <w:sz w:val="24"/>
          <w:szCs w:val="24"/>
        </w:rPr>
        <w:t xml:space="preserve"> and GRA</w:t>
      </w:r>
      <w:r>
        <w:rPr>
          <w:sz w:val="24"/>
          <w:szCs w:val="24"/>
        </w:rPr>
        <w:t xml:space="preserve">, the fact that the rate is available to some customers and not to similarly situated customers results in an inequity. </w:t>
      </w:r>
    </w:p>
    <w:p w14:paraId="54D5D353" w14:textId="77777777" w:rsidR="001412EE" w:rsidRDefault="001412EE" w:rsidP="001412EE">
      <w:pPr>
        <w:widowControl/>
        <w:spacing w:line="360" w:lineRule="auto"/>
        <w:ind w:left="720" w:hanging="720"/>
        <w:jc w:val="both"/>
        <w:rPr>
          <w:sz w:val="24"/>
          <w:szCs w:val="24"/>
        </w:rPr>
      </w:pPr>
    </w:p>
    <w:p w14:paraId="2A18FC88" w14:textId="77777777" w:rsidR="001412EE" w:rsidRPr="00A92D09" w:rsidRDefault="001412EE" w:rsidP="001412EE">
      <w:pPr>
        <w:widowControl/>
        <w:spacing w:line="360" w:lineRule="auto"/>
        <w:ind w:left="720" w:hanging="720"/>
        <w:jc w:val="both"/>
        <w:rPr>
          <w:b/>
          <w:sz w:val="24"/>
          <w:szCs w:val="24"/>
        </w:rPr>
      </w:pPr>
      <w:r w:rsidRPr="00932978">
        <w:rPr>
          <w:b/>
          <w:sz w:val="24"/>
          <w:szCs w:val="24"/>
        </w:rPr>
        <w:t>Q.</w:t>
      </w:r>
      <w:r w:rsidRPr="00A92D09">
        <w:rPr>
          <w:b/>
          <w:sz w:val="24"/>
          <w:szCs w:val="24"/>
        </w:rPr>
        <w:tab/>
        <w:t>ARE ALL CUSTOMERS IN A GIVEN CLASS ELIGIBLE TO PARTICIPATE ON EACH CLASS SPECIFIC RATE?</w:t>
      </w:r>
    </w:p>
    <w:p w14:paraId="1B9CBE08" w14:textId="1A6C2937" w:rsidR="001412EE" w:rsidRDefault="001412EE" w:rsidP="001412EE">
      <w:pPr>
        <w:widowControl/>
        <w:spacing w:line="360" w:lineRule="auto"/>
        <w:ind w:left="720" w:hanging="720"/>
        <w:jc w:val="both"/>
        <w:rPr>
          <w:sz w:val="24"/>
          <w:szCs w:val="24"/>
        </w:rPr>
      </w:pPr>
      <w:r>
        <w:rPr>
          <w:sz w:val="24"/>
          <w:szCs w:val="24"/>
        </w:rPr>
        <w:t>A.</w:t>
      </w:r>
      <w:r>
        <w:rPr>
          <w:sz w:val="24"/>
          <w:szCs w:val="24"/>
        </w:rPr>
        <w:tab/>
        <w:t xml:space="preserve">No. As approved by the Commission, each of the Company’s tariffs include eligibility language outlining the requirements for a customer to be qualified </w:t>
      </w:r>
      <w:r w:rsidR="005960FA">
        <w:rPr>
          <w:sz w:val="24"/>
          <w:szCs w:val="24"/>
        </w:rPr>
        <w:t xml:space="preserve">for, </w:t>
      </w:r>
      <w:r>
        <w:rPr>
          <w:sz w:val="24"/>
          <w:szCs w:val="24"/>
        </w:rPr>
        <w:t>switch to, add, or participate in a Company tariffed program.</w:t>
      </w:r>
      <w:r w:rsidR="00C21CE2">
        <w:rPr>
          <w:sz w:val="24"/>
          <w:szCs w:val="24"/>
        </w:rPr>
        <w:t xml:space="preserve"> The TOU-MB rate is no different, and its eligibility requirements were made clear when the tariff was </w:t>
      </w:r>
      <w:r w:rsidR="005960FA">
        <w:rPr>
          <w:sz w:val="24"/>
          <w:szCs w:val="24"/>
        </w:rPr>
        <w:t xml:space="preserve">modified and </w:t>
      </w:r>
      <w:r w:rsidR="00C21CE2">
        <w:rPr>
          <w:sz w:val="24"/>
          <w:szCs w:val="24"/>
        </w:rPr>
        <w:t>approved in the 2013 Rate Case.</w:t>
      </w:r>
    </w:p>
    <w:p w14:paraId="6732FD77" w14:textId="2FCDF08E" w:rsidR="001412EE" w:rsidRDefault="001412EE" w:rsidP="001412EE">
      <w:pPr>
        <w:widowControl/>
        <w:spacing w:line="360" w:lineRule="auto"/>
        <w:ind w:left="720" w:hanging="720"/>
        <w:jc w:val="both"/>
        <w:rPr>
          <w:sz w:val="24"/>
          <w:szCs w:val="24"/>
        </w:rPr>
      </w:pPr>
    </w:p>
    <w:p w14:paraId="1698F5F6" w14:textId="0735F0B6" w:rsidR="00932978" w:rsidRPr="00932978" w:rsidRDefault="00932978" w:rsidP="00932978">
      <w:pPr>
        <w:widowControl/>
        <w:spacing w:line="360" w:lineRule="auto"/>
        <w:ind w:left="720" w:hanging="720"/>
        <w:jc w:val="both"/>
        <w:rPr>
          <w:b/>
          <w:sz w:val="24"/>
          <w:szCs w:val="24"/>
        </w:rPr>
      </w:pPr>
      <w:r w:rsidRPr="00932978">
        <w:rPr>
          <w:b/>
          <w:sz w:val="24"/>
          <w:szCs w:val="24"/>
        </w:rPr>
        <w:t>Q.    DOES THE COMPANY SUPPORT THE PROPOSED EXPANSION OF TOU-MB?</w:t>
      </w:r>
    </w:p>
    <w:p w14:paraId="4408E2CC" w14:textId="3F125315" w:rsidR="005D28FD" w:rsidRDefault="00932978" w:rsidP="000E7D6A">
      <w:pPr>
        <w:widowControl/>
        <w:spacing w:line="360" w:lineRule="auto"/>
        <w:ind w:left="720" w:hanging="720"/>
        <w:jc w:val="both"/>
        <w:rPr>
          <w:sz w:val="24"/>
          <w:szCs w:val="24"/>
        </w:rPr>
      </w:pPr>
      <w:r w:rsidRPr="00932978">
        <w:rPr>
          <w:sz w:val="24"/>
          <w:szCs w:val="24"/>
        </w:rPr>
        <w:t>A.</w:t>
      </w:r>
      <w:r>
        <w:rPr>
          <w:sz w:val="24"/>
          <w:szCs w:val="24"/>
        </w:rPr>
        <w:tab/>
      </w:r>
      <w:r w:rsidRPr="00932978">
        <w:rPr>
          <w:sz w:val="24"/>
          <w:szCs w:val="24"/>
        </w:rPr>
        <w:t xml:space="preserve">No. The TOU-MB rate was </w:t>
      </w:r>
      <w:r w:rsidR="000E7D6A">
        <w:rPr>
          <w:sz w:val="24"/>
          <w:szCs w:val="24"/>
        </w:rPr>
        <w:t>re</w:t>
      </w:r>
      <w:r w:rsidRPr="00932978">
        <w:rPr>
          <w:sz w:val="24"/>
          <w:szCs w:val="24"/>
        </w:rPr>
        <w:t xml:space="preserve">designed with </w:t>
      </w:r>
      <w:r w:rsidR="000E7D6A">
        <w:rPr>
          <w:sz w:val="24"/>
          <w:szCs w:val="24"/>
        </w:rPr>
        <w:t xml:space="preserve">a super off-peak period to help customers who use a significant amount of off-peak energy to take advantage of that pricing. </w:t>
      </w:r>
      <w:r w:rsidRPr="00932978">
        <w:rPr>
          <w:sz w:val="24"/>
          <w:szCs w:val="24"/>
        </w:rPr>
        <w:t>PIA Staff and GRA have not adequately demonstrated that all restaurants have similar load shapes and broadening the rate eligibility requirements would not be fair to similarly situated, non-restaurant customers who are unable to take advantage of the TOU-MB rate. Moreover, Georgia Power estimates that expanding eligibility for TOU-MB would cause</w:t>
      </w:r>
      <w:r w:rsidR="000E7D6A">
        <w:rPr>
          <w:sz w:val="24"/>
          <w:szCs w:val="24"/>
        </w:rPr>
        <w:t xml:space="preserve"> a significant amount of</w:t>
      </w:r>
      <w:r w:rsidRPr="00932978">
        <w:rPr>
          <w:sz w:val="24"/>
          <w:szCs w:val="24"/>
        </w:rPr>
        <w:t xml:space="preserve"> revenue erosion that would have to be made up by other customers in the rate group.</w:t>
      </w:r>
    </w:p>
    <w:p w14:paraId="1F7AE0F1" w14:textId="52CD4CB7" w:rsidR="000E7D6A" w:rsidRDefault="000E7D6A" w:rsidP="00932978">
      <w:pPr>
        <w:widowControl/>
        <w:spacing w:line="360" w:lineRule="auto"/>
        <w:ind w:left="720" w:hanging="720"/>
        <w:jc w:val="both"/>
        <w:rPr>
          <w:sz w:val="24"/>
          <w:szCs w:val="24"/>
        </w:rPr>
      </w:pPr>
    </w:p>
    <w:p w14:paraId="2A329FCA" w14:textId="4B74DFCB" w:rsidR="001412EE" w:rsidRPr="00A92D09" w:rsidRDefault="001412EE" w:rsidP="001412EE">
      <w:pPr>
        <w:widowControl/>
        <w:spacing w:line="360" w:lineRule="auto"/>
        <w:ind w:left="720" w:hanging="720"/>
        <w:jc w:val="both"/>
        <w:rPr>
          <w:b/>
          <w:sz w:val="24"/>
          <w:szCs w:val="24"/>
        </w:rPr>
      </w:pPr>
      <w:r w:rsidRPr="00A92D09">
        <w:rPr>
          <w:b/>
          <w:sz w:val="24"/>
          <w:szCs w:val="24"/>
        </w:rPr>
        <w:t>Q.</w:t>
      </w:r>
      <w:r w:rsidRPr="00A92D09">
        <w:rPr>
          <w:b/>
          <w:sz w:val="24"/>
          <w:szCs w:val="24"/>
        </w:rPr>
        <w:tab/>
        <w:t>DOES THE COMPANY AGREE WITH STAFF’S RECOMMENDATION TO CONSOLIDATE CUSTOMERS ON LESS BENEFICIAL TARIFFS INTO THE RATE CLASSES WITH MORE BENEFICIAL TARIFFS FOR WHICH THE CUSTOMER WOULD OTHERWISE QUALIFY?</w:t>
      </w:r>
    </w:p>
    <w:p w14:paraId="7328CEE3" w14:textId="7F5DFF2A" w:rsidR="001412EE" w:rsidRDefault="001412EE" w:rsidP="001412EE">
      <w:pPr>
        <w:widowControl/>
        <w:spacing w:line="360" w:lineRule="auto"/>
        <w:ind w:left="720" w:hanging="720"/>
        <w:jc w:val="both"/>
        <w:rPr>
          <w:sz w:val="24"/>
          <w:szCs w:val="24"/>
        </w:rPr>
      </w:pPr>
      <w:r>
        <w:rPr>
          <w:sz w:val="24"/>
          <w:szCs w:val="24"/>
        </w:rPr>
        <w:t>A.</w:t>
      </w:r>
      <w:r>
        <w:rPr>
          <w:sz w:val="24"/>
          <w:szCs w:val="24"/>
        </w:rPr>
        <w:tab/>
        <w:t xml:space="preserve">No. If the Company were to consolidate customers onto fewer tariffs, </w:t>
      </w:r>
      <w:r w:rsidR="00E56669">
        <w:rPr>
          <w:sz w:val="24"/>
          <w:szCs w:val="24"/>
        </w:rPr>
        <w:t>not collecting</w:t>
      </w:r>
      <w:r>
        <w:rPr>
          <w:sz w:val="24"/>
          <w:szCs w:val="24"/>
        </w:rPr>
        <w:t xml:space="preserve"> costs previously captured from customers under their prior tariffs would create substantial revenue erosion </w:t>
      </w:r>
      <w:r w:rsidR="00AB5D34">
        <w:rPr>
          <w:sz w:val="24"/>
          <w:szCs w:val="24"/>
        </w:rPr>
        <w:t xml:space="preserve">resulting in </w:t>
      </w:r>
      <w:r>
        <w:rPr>
          <w:sz w:val="24"/>
          <w:szCs w:val="24"/>
        </w:rPr>
        <w:t xml:space="preserve">cost shifting among customers. </w:t>
      </w:r>
      <w:r w:rsidR="001A3F81">
        <w:rPr>
          <w:sz w:val="24"/>
          <w:szCs w:val="24"/>
        </w:rPr>
        <w:t xml:space="preserve">Additionally, in </w:t>
      </w:r>
      <w:r>
        <w:rPr>
          <w:sz w:val="24"/>
          <w:szCs w:val="24"/>
        </w:rPr>
        <w:t>consolidat</w:t>
      </w:r>
      <w:r w:rsidR="001A3F81">
        <w:rPr>
          <w:sz w:val="24"/>
          <w:szCs w:val="24"/>
        </w:rPr>
        <w:t>ing</w:t>
      </w:r>
      <w:r>
        <w:rPr>
          <w:sz w:val="24"/>
          <w:szCs w:val="24"/>
        </w:rPr>
        <w:t xml:space="preserve"> customers onto other tariffs, the Company would be violating Georgia Power’s Rules and Regulations</w:t>
      </w:r>
      <w:r w:rsidR="002F623A">
        <w:rPr>
          <w:sz w:val="24"/>
          <w:szCs w:val="24"/>
        </w:rPr>
        <w:t xml:space="preserve"> for Electric Service</w:t>
      </w:r>
      <w:r>
        <w:rPr>
          <w:sz w:val="24"/>
          <w:szCs w:val="24"/>
        </w:rPr>
        <w:t xml:space="preserve"> that prevent the Company from selecting a rate for a customer. </w:t>
      </w:r>
      <w:r w:rsidR="001A3F81">
        <w:rPr>
          <w:sz w:val="24"/>
          <w:szCs w:val="24"/>
        </w:rPr>
        <w:t xml:space="preserve">This would also presume that customers choose a rate based solely on economics, ignoring all other factors, such as price risk, bill stability, etc. The Company’s experience has been that many things factor into a customer’s choice of rates. </w:t>
      </w:r>
      <w:r>
        <w:rPr>
          <w:sz w:val="24"/>
          <w:szCs w:val="24"/>
        </w:rPr>
        <w:t xml:space="preserve">Finally, taken to its logical conclusion as customers are continually consolidated to </w:t>
      </w:r>
      <w:r w:rsidR="001A3F81">
        <w:rPr>
          <w:sz w:val="24"/>
          <w:szCs w:val="24"/>
        </w:rPr>
        <w:t>fewer</w:t>
      </w:r>
      <w:r>
        <w:rPr>
          <w:sz w:val="24"/>
          <w:szCs w:val="24"/>
        </w:rPr>
        <w:t xml:space="preserve"> rates, each customer class would ultimately end up with fewer rate choices, which is contrary to PIA Staff’s stated objective of ensuring customers are empowered to select their own rates and have sufficient options to choose from. </w:t>
      </w:r>
    </w:p>
    <w:p w14:paraId="4F22519A" w14:textId="4EEDA3D5" w:rsidR="00B63F54" w:rsidRDefault="00B63F54" w:rsidP="001412EE">
      <w:pPr>
        <w:widowControl/>
        <w:spacing w:line="360" w:lineRule="auto"/>
        <w:ind w:left="720" w:hanging="720"/>
        <w:jc w:val="both"/>
        <w:rPr>
          <w:sz w:val="24"/>
          <w:szCs w:val="24"/>
        </w:rPr>
      </w:pPr>
    </w:p>
    <w:p w14:paraId="1D730CF9" w14:textId="18634B2F" w:rsidR="00B63F54" w:rsidRPr="00A674D6" w:rsidRDefault="00B63F54" w:rsidP="00B63F54">
      <w:pPr>
        <w:widowControl/>
        <w:tabs>
          <w:tab w:val="left" w:pos="3600"/>
        </w:tabs>
        <w:spacing w:line="360" w:lineRule="auto"/>
        <w:ind w:left="720" w:hanging="720"/>
        <w:jc w:val="both"/>
        <w:rPr>
          <w:b/>
          <w:sz w:val="24"/>
          <w:szCs w:val="24"/>
        </w:rPr>
      </w:pPr>
      <w:r w:rsidRPr="00A674D6">
        <w:rPr>
          <w:b/>
          <w:sz w:val="24"/>
          <w:szCs w:val="24"/>
        </w:rPr>
        <w:t>Q.</w:t>
      </w:r>
      <w:r w:rsidR="004B01DB">
        <w:rPr>
          <w:b/>
          <w:sz w:val="24"/>
          <w:szCs w:val="24"/>
        </w:rPr>
        <w:tab/>
      </w:r>
      <w:r w:rsidRPr="00A674D6">
        <w:rPr>
          <w:b/>
          <w:sz w:val="24"/>
          <w:szCs w:val="24"/>
        </w:rPr>
        <w:t xml:space="preserve">DOES GEORGIA POWER SUPPORT THE REQUESTS BY MARTA AND RESOURCE SUPPLY MANAGEMENT TO CONVERT ADDITIONAL EMBEDDED LOAD TO MARGINAL LOAD SERVED UNDER </w:t>
      </w:r>
      <w:r w:rsidR="002F623A">
        <w:rPr>
          <w:b/>
          <w:sz w:val="24"/>
          <w:szCs w:val="24"/>
        </w:rPr>
        <w:t>REAL TIME PRICING (“</w:t>
      </w:r>
      <w:r w:rsidRPr="00A674D6">
        <w:rPr>
          <w:b/>
          <w:sz w:val="24"/>
          <w:szCs w:val="24"/>
        </w:rPr>
        <w:t>RTP</w:t>
      </w:r>
      <w:r w:rsidR="002F623A">
        <w:rPr>
          <w:b/>
          <w:sz w:val="24"/>
          <w:szCs w:val="24"/>
        </w:rPr>
        <w:t>”)</w:t>
      </w:r>
      <w:r w:rsidRPr="00A674D6">
        <w:rPr>
          <w:b/>
          <w:sz w:val="24"/>
          <w:szCs w:val="24"/>
        </w:rPr>
        <w:t>?</w:t>
      </w:r>
    </w:p>
    <w:p w14:paraId="61C57968" w14:textId="23F8539E" w:rsidR="00B63F54" w:rsidRDefault="00B63F54" w:rsidP="00B63F54">
      <w:pPr>
        <w:widowControl/>
        <w:tabs>
          <w:tab w:val="left" w:pos="3600"/>
        </w:tabs>
        <w:spacing w:line="360" w:lineRule="auto"/>
        <w:ind w:left="720" w:hanging="720"/>
        <w:jc w:val="both"/>
        <w:rPr>
          <w:sz w:val="24"/>
          <w:szCs w:val="24"/>
        </w:rPr>
      </w:pPr>
      <w:r w:rsidRPr="00A674D6">
        <w:rPr>
          <w:sz w:val="24"/>
          <w:szCs w:val="24"/>
        </w:rPr>
        <w:t>A.</w:t>
      </w:r>
      <w:r>
        <w:rPr>
          <w:sz w:val="24"/>
          <w:szCs w:val="24"/>
        </w:rPr>
        <w:tab/>
      </w:r>
      <w:r w:rsidRPr="00A674D6">
        <w:rPr>
          <w:sz w:val="24"/>
          <w:szCs w:val="24"/>
        </w:rPr>
        <w:t>No</w:t>
      </w:r>
      <w:r w:rsidR="002F623A">
        <w:rPr>
          <w:sz w:val="24"/>
          <w:szCs w:val="24"/>
        </w:rPr>
        <w:t>.</w:t>
      </w:r>
      <w:r w:rsidRPr="00A674D6">
        <w:rPr>
          <w:sz w:val="24"/>
          <w:szCs w:val="24"/>
        </w:rPr>
        <w:t xml:space="preserve"> Georgia Power does not support the requests by MARTA and Resource Supply Management to convert additional embedded load to marginal load that is subject to RTP hourly pricing. A conversion of this type would create </w:t>
      </w:r>
      <w:r w:rsidR="002F623A">
        <w:rPr>
          <w:sz w:val="24"/>
          <w:szCs w:val="24"/>
        </w:rPr>
        <w:t xml:space="preserve">substantial </w:t>
      </w:r>
      <w:r w:rsidRPr="00A674D6">
        <w:rPr>
          <w:sz w:val="24"/>
          <w:szCs w:val="24"/>
        </w:rPr>
        <w:t>revenue erosion that would have to be borne by other customers. It would also not be fair and equitable to allow only</w:t>
      </w:r>
      <w:r w:rsidR="002F623A">
        <w:rPr>
          <w:sz w:val="24"/>
          <w:szCs w:val="24"/>
        </w:rPr>
        <w:t xml:space="preserve"> certain customers like</w:t>
      </w:r>
      <w:r w:rsidRPr="00A674D6">
        <w:rPr>
          <w:sz w:val="24"/>
          <w:szCs w:val="24"/>
        </w:rPr>
        <w:t xml:space="preserve"> MARTA to convert this load and not allow other customers the same opportunity. </w:t>
      </w:r>
    </w:p>
    <w:p w14:paraId="15746DFE" w14:textId="77777777" w:rsidR="005960FA" w:rsidRDefault="005960FA" w:rsidP="005960FA">
      <w:pPr>
        <w:widowControl/>
        <w:tabs>
          <w:tab w:val="left" w:pos="3600"/>
        </w:tabs>
        <w:spacing w:line="360" w:lineRule="auto"/>
        <w:ind w:left="720" w:hanging="720"/>
        <w:jc w:val="both"/>
        <w:rPr>
          <w:b/>
          <w:sz w:val="24"/>
          <w:szCs w:val="24"/>
        </w:rPr>
      </w:pPr>
    </w:p>
    <w:p w14:paraId="5383E190" w14:textId="68EAD370" w:rsidR="005960FA" w:rsidRDefault="005960FA" w:rsidP="005960FA">
      <w:pPr>
        <w:widowControl/>
        <w:tabs>
          <w:tab w:val="left" w:pos="3600"/>
        </w:tabs>
        <w:spacing w:line="360" w:lineRule="auto"/>
        <w:ind w:left="720" w:hanging="720"/>
        <w:jc w:val="both"/>
        <w:rPr>
          <w:b/>
          <w:sz w:val="24"/>
          <w:szCs w:val="24"/>
        </w:rPr>
      </w:pPr>
      <w:r w:rsidRPr="00A674D6">
        <w:rPr>
          <w:b/>
          <w:sz w:val="24"/>
          <w:szCs w:val="24"/>
        </w:rPr>
        <w:t>Q.</w:t>
      </w:r>
      <w:r>
        <w:rPr>
          <w:b/>
          <w:sz w:val="24"/>
          <w:szCs w:val="24"/>
        </w:rPr>
        <w:tab/>
      </w:r>
      <w:r w:rsidRPr="00A674D6">
        <w:rPr>
          <w:b/>
          <w:sz w:val="24"/>
          <w:szCs w:val="24"/>
        </w:rPr>
        <w:t xml:space="preserve">DOES GEORGIA POWER SUPPORT </w:t>
      </w:r>
      <w:r>
        <w:rPr>
          <w:b/>
          <w:sz w:val="24"/>
          <w:szCs w:val="24"/>
        </w:rPr>
        <w:t>MARTA’S</w:t>
      </w:r>
      <w:r w:rsidRPr="00A674D6">
        <w:rPr>
          <w:b/>
          <w:sz w:val="24"/>
          <w:szCs w:val="24"/>
        </w:rPr>
        <w:t xml:space="preserve"> REQUEST </w:t>
      </w:r>
      <w:r>
        <w:rPr>
          <w:b/>
          <w:sz w:val="24"/>
          <w:szCs w:val="24"/>
        </w:rPr>
        <w:t>TO NOT APPLY ANY INCREASES TO THE ELECTRIC TRANSPORTATION (“ET”) RATE?</w:t>
      </w:r>
    </w:p>
    <w:p w14:paraId="0571418F" w14:textId="3C853B18" w:rsidR="005960FA" w:rsidRPr="00392891" w:rsidRDefault="005960FA" w:rsidP="005960FA">
      <w:pPr>
        <w:widowControl/>
        <w:tabs>
          <w:tab w:val="left" w:pos="3600"/>
        </w:tabs>
        <w:spacing w:line="360" w:lineRule="auto"/>
        <w:ind w:left="720" w:hanging="720"/>
        <w:jc w:val="both"/>
        <w:rPr>
          <w:sz w:val="24"/>
          <w:szCs w:val="24"/>
        </w:rPr>
      </w:pPr>
      <w:r>
        <w:rPr>
          <w:sz w:val="24"/>
          <w:szCs w:val="24"/>
        </w:rPr>
        <w:t xml:space="preserve">A. </w:t>
      </w:r>
      <w:r>
        <w:rPr>
          <w:sz w:val="24"/>
          <w:szCs w:val="24"/>
        </w:rPr>
        <w:tab/>
        <w:t xml:space="preserve">No. Georgia Power does not support this request by MARTA as it would result in this revenue deficiency being spread to all other customers and would not be fair and equitable to customers on other rates. </w:t>
      </w:r>
    </w:p>
    <w:p w14:paraId="6FCF7986" w14:textId="77777777" w:rsidR="00B63F54" w:rsidRPr="00A674D6" w:rsidRDefault="00B63F54" w:rsidP="00B63F54">
      <w:pPr>
        <w:widowControl/>
        <w:tabs>
          <w:tab w:val="left" w:pos="3600"/>
        </w:tabs>
        <w:spacing w:line="360" w:lineRule="auto"/>
        <w:ind w:left="720" w:hanging="720"/>
        <w:jc w:val="both"/>
        <w:rPr>
          <w:b/>
          <w:sz w:val="24"/>
          <w:szCs w:val="24"/>
        </w:rPr>
      </w:pPr>
    </w:p>
    <w:p w14:paraId="0575F55B" w14:textId="5E38D066" w:rsidR="00B63F54" w:rsidRPr="00A674D6" w:rsidRDefault="00B63F54" w:rsidP="00AB4094">
      <w:pPr>
        <w:keepLines/>
        <w:widowControl/>
        <w:tabs>
          <w:tab w:val="left" w:pos="3600"/>
        </w:tabs>
        <w:spacing w:line="360" w:lineRule="auto"/>
        <w:ind w:left="720" w:hanging="720"/>
        <w:jc w:val="both"/>
        <w:rPr>
          <w:b/>
          <w:sz w:val="24"/>
          <w:szCs w:val="24"/>
        </w:rPr>
      </w:pPr>
      <w:r w:rsidRPr="00A674D6">
        <w:rPr>
          <w:b/>
          <w:sz w:val="24"/>
          <w:szCs w:val="24"/>
        </w:rPr>
        <w:t>Q.</w:t>
      </w:r>
      <w:r w:rsidRPr="00A674D6">
        <w:rPr>
          <w:b/>
          <w:sz w:val="24"/>
          <w:szCs w:val="24"/>
        </w:rPr>
        <w:tab/>
        <w:t xml:space="preserve">DOES GEORGIA POWER CONTINUE TO SUPPORT </w:t>
      </w:r>
      <w:r w:rsidR="003566B3">
        <w:rPr>
          <w:b/>
          <w:sz w:val="24"/>
          <w:szCs w:val="24"/>
        </w:rPr>
        <w:t>ITS</w:t>
      </w:r>
      <w:r w:rsidR="003566B3" w:rsidRPr="00A674D6">
        <w:rPr>
          <w:b/>
          <w:sz w:val="24"/>
          <w:szCs w:val="24"/>
        </w:rPr>
        <w:t xml:space="preserve"> </w:t>
      </w:r>
      <w:r w:rsidRPr="00A674D6">
        <w:rPr>
          <w:b/>
          <w:sz w:val="24"/>
          <w:szCs w:val="24"/>
        </w:rPr>
        <w:t>PROPOSED CHANGE TO RTP REQUIRING CUSTOMERS TO COME OFF OF THE RATE FOR A MINIMUM OF 24 MONTHS BEFORE RETURNING TO THE PROGRAM?</w:t>
      </w:r>
    </w:p>
    <w:p w14:paraId="19525849" w14:textId="209F7F18" w:rsidR="00B63F54" w:rsidRPr="00A674D6" w:rsidRDefault="00B63F54" w:rsidP="00B63F54">
      <w:pPr>
        <w:widowControl/>
        <w:tabs>
          <w:tab w:val="left" w:pos="3600"/>
        </w:tabs>
        <w:spacing w:line="360" w:lineRule="auto"/>
        <w:ind w:left="720" w:hanging="720"/>
        <w:jc w:val="both"/>
        <w:rPr>
          <w:sz w:val="24"/>
          <w:szCs w:val="24"/>
        </w:rPr>
      </w:pPr>
      <w:r w:rsidRPr="00A674D6">
        <w:rPr>
          <w:sz w:val="24"/>
          <w:szCs w:val="24"/>
        </w:rPr>
        <w:t>A.</w:t>
      </w:r>
      <w:r>
        <w:rPr>
          <w:sz w:val="24"/>
          <w:szCs w:val="24"/>
        </w:rPr>
        <w:tab/>
      </w:r>
      <w:r w:rsidRPr="00A674D6">
        <w:rPr>
          <w:sz w:val="24"/>
          <w:szCs w:val="24"/>
        </w:rPr>
        <w:t xml:space="preserve">Yes. Short term changes to a customer’s usage should not result in the permanent conversion of embedded load into marginal load on the RTP rate. The RTP tariffs have provisions to revise </w:t>
      </w:r>
      <w:r w:rsidR="002F623A">
        <w:rPr>
          <w:sz w:val="24"/>
          <w:szCs w:val="24"/>
        </w:rPr>
        <w:t xml:space="preserve">the </w:t>
      </w:r>
      <w:r w:rsidRPr="00A674D6">
        <w:rPr>
          <w:sz w:val="24"/>
          <w:szCs w:val="24"/>
        </w:rPr>
        <w:t xml:space="preserve">CBL as the result of </w:t>
      </w:r>
      <w:r w:rsidR="00AB4094">
        <w:rPr>
          <w:sz w:val="24"/>
          <w:szCs w:val="24"/>
        </w:rPr>
        <w:t xml:space="preserve">actions like </w:t>
      </w:r>
      <w:r w:rsidRPr="00A674D6">
        <w:rPr>
          <w:sz w:val="24"/>
          <w:szCs w:val="24"/>
        </w:rPr>
        <w:t>permanent equipment removal</w:t>
      </w:r>
      <w:r w:rsidR="00AB4094">
        <w:rPr>
          <w:sz w:val="24"/>
          <w:szCs w:val="24"/>
        </w:rPr>
        <w:t xml:space="preserve"> and </w:t>
      </w:r>
      <w:r w:rsidRPr="00A674D6">
        <w:rPr>
          <w:sz w:val="24"/>
          <w:szCs w:val="24"/>
        </w:rPr>
        <w:t xml:space="preserve">energy efficiency improvements, but specifically forbid revisions due to temporary factors such as economic downturns. Changing the requirement so that customers who have not removed load must stay off RTP for 24 months in order to set a new CBL preserves the integrity of the RTP program and protects other </w:t>
      </w:r>
      <w:r w:rsidR="002F623A">
        <w:rPr>
          <w:sz w:val="24"/>
          <w:szCs w:val="24"/>
        </w:rPr>
        <w:t>customers</w:t>
      </w:r>
      <w:r w:rsidRPr="00A674D6">
        <w:rPr>
          <w:sz w:val="24"/>
          <w:szCs w:val="24"/>
        </w:rPr>
        <w:t>.</w:t>
      </w:r>
    </w:p>
    <w:p w14:paraId="0711B327" w14:textId="77777777" w:rsidR="00B63F54" w:rsidRPr="00A674D6" w:rsidRDefault="00B63F54" w:rsidP="00B63F54">
      <w:pPr>
        <w:widowControl/>
        <w:tabs>
          <w:tab w:val="left" w:pos="3600"/>
        </w:tabs>
        <w:spacing w:line="360" w:lineRule="auto"/>
        <w:ind w:left="720" w:hanging="720"/>
        <w:jc w:val="both"/>
        <w:rPr>
          <w:b/>
          <w:sz w:val="24"/>
          <w:szCs w:val="24"/>
        </w:rPr>
      </w:pPr>
    </w:p>
    <w:p w14:paraId="4D128F59" w14:textId="449FBA3D" w:rsidR="00B63F54" w:rsidRPr="00A674D6" w:rsidRDefault="00B63F54" w:rsidP="00B63F54">
      <w:pPr>
        <w:widowControl/>
        <w:tabs>
          <w:tab w:val="left" w:pos="3600"/>
        </w:tabs>
        <w:spacing w:line="360" w:lineRule="auto"/>
        <w:ind w:left="720" w:hanging="720"/>
        <w:jc w:val="both"/>
        <w:rPr>
          <w:b/>
          <w:sz w:val="24"/>
          <w:szCs w:val="24"/>
        </w:rPr>
      </w:pPr>
      <w:r w:rsidRPr="00A674D6">
        <w:rPr>
          <w:b/>
          <w:sz w:val="24"/>
          <w:szCs w:val="24"/>
        </w:rPr>
        <w:t>Q.</w:t>
      </w:r>
      <w:r w:rsidR="00E25675">
        <w:rPr>
          <w:b/>
          <w:sz w:val="24"/>
          <w:szCs w:val="24"/>
        </w:rPr>
        <w:tab/>
      </w:r>
      <w:r w:rsidRPr="00A674D6">
        <w:rPr>
          <w:b/>
          <w:sz w:val="24"/>
          <w:szCs w:val="24"/>
        </w:rPr>
        <w:t xml:space="preserve">DOES GEORGIA POWER CONTINUE TO SUPPORT </w:t>
      </w:r>
      <w:r w:rsidR="000F7BA9">
        <w:rPr>
          <w:b/>
          <w:sz w:val="24"/>
          <w:szCs w:val="24"/>
        </w:rPr>
        <w:t>ITS</w:t>
      </w:r>
      <w:r w:rsidR="000F7BA9" w:rsidRPr="00A674D6">
        <w:rPr>
          <w:b/>
          <w:sz w:val="24"/>
          <w:szCs w:val="24"/>
        </w:rPr>
        <w:t xml:space="preserve"> </w:t>
      </w:r>
      <w:r w:rsidRPr="00A674D6">
        <w:rPr>
          <w:b/>
          <w:sz w:val="24"/>
          <w:szCs w:val="24"/>
        </w:rPr>
        <w:t>PROPOSED CHANGE TO RTP THAT PREVENTS CHANGES TO THE CBL DURING THE INITIAL TERM?</w:t>
      </w:r>
    </w:p>
    <w:p w14:paraId="5C121B4D" w14:textId="1B2BC3DD" w:rsidR="00B63F54" w:rsidRPr="00A674D6" w:rsidRDefault="00B63F54" w:rsidP="00B63F54">
      <w:pPr>
        <w:widowControl/>
        <w:tabs>
          <w:tab w:val="left" w:pos="3600"/>
        </w:tabs>
        <w:spacing w:line="360" w:lineRule="auto"/>
        <w:ind w:left="720" w:hanging="720"/>
        <w:jc w:val="both"/>
        <w:rPr>
          <w:sz w:val="24"/>
          <w:szCs w:val="24"/>
        </w:rPr>
      </w:pPr>
      <w:r w:rsidRPr="00A674D6">
        <w:rPr>
          <w:sz w:val="24"/>
          <w:szCs w:val="24"/>
        </w:rPr>
        <w:t>A.</w:t>
      </w:r>
      <w:r w:rsidR="00E25675">
        <w:rPr>
          <w:sz w:val="24"/>
          <w:szCs w:val="24"/>
        </w:rPr>
        <w:tab/>
      </w:r>
      <w:r w:rsidRPr="00A674D6">
        <w:rPr>
          <w:sz w:val="24"/>
          <w:szCs w:val="24"/>
        </w:rPr>
        <w:t>Yes. </w:t>
      </w:r>
      <w:r w:rsidR="001A3F81">
        <w:rPr>
          <w:sz w:val="24"/>
          <w:szCs w:val="24"/>
        </w:rPr>
        <w:t>Economic</w:t>
      </w:r>
      <w:r w:rsidR="001A3F81" w:rsidRPr="00A674D6">
        <w:rPr>
          <w:sz w:val="24"/>
          <w:szCs w:val="24"/>
        </w:rPr>
        <w:t xml:space="preserve"> analyses for new RTP customers are run using projected CBL revenue. </w:t>
      </w:r>
      <w:r w:rsidR="001A3F81">
        <w:rPr>
          <w:sz w:val="24"/>
          <w:szCs w:val="24"/>
        </w:rPr>
        <w:t xml:space="preserve">The purpose of this economic analysis is to ensure the revenue collected from a new RTP customer will cover the cost to serve its load so that other customers will not have to subsidize that service. </w:t>
      </w:r>
      <w:r w:rsidRPr="00A674D6">
        <w:rPr>
          <w:sz w:val="24"/>
          <w:szCs w:val="24"/>
        </w:rPr>
        <w:t xml:space="preserve">It is reasonable to hold RTP customers to the contracted CBL level during the initial term of their contract in order to avoid putting upward </w:t>
      </w:r>
      <w:r w:rsidR="001A3F81">
        <w:rPr>
          <w:sz w:val="24"/>
          <w:szCs w:val="24"/>
        </w:rPr>
        <w:t>rate</w:t>
      </w:r>
      <w:r w:rsidR="001A3F81" w:rsidRPr="00A674D6">
        <w:rPr>
          <w:sz w:val="24"/>
          <w:szCs w:val="24"/>
        </w:rPr>
        <w:t xml:space="preserve"> </w:t>
      </w:r>
      <w:r w:rsidRPr="00A674D6">
        <w:rPr>
          <w:sz w:val="24"/>
          <w:szCs w:val="24"/>
        </w:rPr>
        <w:t xml:space="preserve">pressure on other </w:t>
      </w:r>
      <w:r w:rsidR="002F623A">
        <w:rPr>
          <w:sz w:val="24"/>
          <w:szCs w:val="24"/>
        </w:rPr>
        <w:t>customers</w:t>
      </w:r>
      <w:r w:rsidRPr="00A674D6">
        <w:rPr>
          <w:sz w:val="24"/>
          <w:szCs w:val="24"/>
        </w:rPr>
        <w:t xml:space="preserve">. </w:t>
      </w:r>
    </w:p>
    <w:p w14:paraId="3DAE4E3C" w14:textId="6A80D44E" w:rsidR="00B63F54" w:rsidRDefault="00B63F54" w:rsidP="00B63F54">
      <w:pPr>
        <w:widowControl/>
        <w:tabs>
          <w:tab w:val="left" w:pos="3600"/>
        </w:tabs>
        <w:spacing w:line="360" w:lineRule="auto"/>
        <w:ind w:left="720" w:hanging="720"/>
        <w:jc w:val="both"/>
        <w:rPr>
          <w:sz w:val="24"/>
          <w:szCs w:val="24"/>
        </w:rPr>
      </w:pPr>
    </w:p>
    <w:p w14:paraId="1E5C9234" w14:textId="77777777" w:rsidR="007D5C8B" w:rsidRDefault="007D5C8B" w:rsidP="007D5C8B">
      <w:pPr>
        <w:widowControl/>
        <w:tabs>
          <w:tab w:val="left" w:pos="3600"/>
        </w:tabs>
        <w:spacing w:line="360" w:lineRule="auto"/>
        <w:ind w:left="720" w:hanging="720"/>
        <w:jc w:val="both"/>
        <w:rPr>
          <w:b/>
          <w:sz w:val="24"/>
          <w:szCs w:val="24"/>
        </w:rPr>
      </w:pPr>
      <w:r w:rsidRPr="00706514">
        <w:rPr>
          <w:b/>
          <w:sz w:val="24"/>
          <w:szCs w:val="24"/>
        </w:rPr>
        <w:t>Q.</w:t>
      </w:r>
      <w:r w:rsidRPr="00706514">
        <w:rPr>
          <w:b/>
          <w:sz w:val="24"/>
          <w:szCs w:val="24"/>
        </w:rPr>
        <w:tab/>
      </w:r>
      <w:r>
        <w:rPr>
          <w:b/>
          <w:sz w:val="24"/>
          <w:szCs w:val="24"/>
        </w:rPr>
        <w:t xml:space="preserve">DOES GEORGIA POWER NEED AN ENHANCED DEMAND RESPONSE PROGRAM AS RECOMMENDED BY GEORGIA ASSOCIATION OF MANUFACTURERS AND GEORGIA INDUSTRIAL GROUP? </w:t>
      </w:r>
    </w:p>
    <w:p w14:paraId="60619C39" w14:textId="3EB88031" w:rsidR="007D5C8B" w:rsidRDefault="007D5C8B" w:rsidP="007D5C8B">
      <w:pPr>
        <w:widowControl/>
        <w:tabs>
          <w:tab w:val="left" w:pos="3600"/>
        </w:tabs>
        <w:spacing w:line="360" w:lineRule="auto"/>
        <w:ind w:left="720" w:hanging="720"/>
        <w:jc w:val="both"/>
        <w:rPr>
          <w:sz w:val="24"/>
          <w:szCs w:val="24"/>
        </w:rPr>
      </w:pPr>
      <w:r>
        <w:rPr>
          <w:sz w:val="24"/>
          <w:szCs w:val="24"/>
        </w:rPr>
        <w:t>A.</w:t>
      </w:r>
      <w:r>
        <w:rPr>
          <w:sz w:val="24"/>
          <w:szCs w:val="24"/>
        </w:rPr>
        <w:tab/>
        <w:t xml:space="preserve">No, Georgia Power does not currently </w:t>
      </w:r>
      <w:r w:rsidR="003532EA">
        <w:rPr>
          <w:sz w:val="24"/>
          <w:szCs w:val="24"/>
        </w:rPr>
        <w:t xml:space="preserve">have a </w:t>
      </w:r>
      <w:r>
        <w:rPr>
          <w:sz w:val="24"/>
          <w:szCs w:val="24"/>
        </w:rPr>
        <w:t xml:space="preserve">need </w:t>
      </w:r>
      <w:r w:rsidR="003532EA">
        <w:rPr>
          <w:sz w:val="24"/>
          <w:szCs w:val="24"/>
        </w:rPr>
        <w:t xml:space="preserve">for </w:t>
      </w:r>
      <w:r>
        <w:rPr>
          <w:sz w:val="24"/>
          <w:szCs w:val="24"/>
        </w:rPr>
        <w:t xml:space="preserve">a flexible response program as outlined by </w:t>
      </w:r>
      <w:r w:rsidR="00561C0F">
        <w:rPr>
          <w:sz w:val="24"/>
          <w:szCs w:val="24"/>
        </w:rPr>
        <w:t xml:space="preserve">Georgia Industrial Group/Georgia Association of Manufacturers </w:t>
      </w:r>
      <w:r>
        <w:rPr>
          <w:sz w:val="24"/>
          <w:szCs w:val="24"/>
        </w:rPr>
        <w:t xml:space="preserve">Witness Pollock. The Company currently has an adequate reserve margin and does not need flexible demand or capacity resources. </w:t>
      </w:r>
    </w:p>
    <w:p w14:paraId="6B5DA57A" w14:textId="77777777" w:rsidR="007D5C8B" w:rsidRPr="00A674D6" w:rsidRDefault="007D5C8B" w:rsidP="00B63F54">
      <w:pPr>
        <w:widowControl/>
        <w:tabs>
          <w:tab w:val="left" w:pos="3600"/>
        </w:tabs>
        <w:spacing w:line="360" w:lineRule="auto"/>
        <w:ind w:left="720" w:hanging="720"/>
        <w:jc w:val="both"/>
        <w:rPr>
          <w:sz w:val="24"/>
          <w:szCs w:val="24"/>
        </w:rPr>
      </w:pPr>
    </w:p>
    <w:p w14:paraId="63288E0B" w14:textId="6080EFF6" w:rsidR="005711DF" w:rsidRDefault="005711DF" w:rsidP="00520300">
      <w:pPr>
        <w:keepNext/>
        <w:widowControl/>
        <w:spacing w:line="360" w:lineRule="auto"/>
        <w:ind w:left="720" w:hanging="720"/>
        <w:jc w:val="both"/>
        <w:rPr>
          <w:i/>
          <w:sz w:val="24"/>
          <w:szCs w:val="24"/>
        </w:rPr>
      </w:pPr>
      <w:r>
        <w:rPr>
          <w:i/>
          <w:sz w:val="24"/>
          <w:szCs w:val="24"/>
        </w:rPr>
        <w:t>Rate Parity</w:t>
      </w:r>
    </w:p>
    <w:p w14:paraId="4D829DC3" w14:textId="77777777" w:rsidR="005711DF" w:rsidRDefault="005711DF" w:rsidP="00520300">
      <w:pPr>
        <w:keepNext/>
        <w:widowControl/>
        <w:spacing w:line="360" w:lineRule="auto"/>
        <w:ind w:left="720" w:hanging="720"/>
        <w:jc w:val="both"/>
        <w:rPr>
          <w:i/>
          <w:sz w:val="24"/>
          <w:szCs w:val="24"/>
        </w:rPr>
      </w:pPr>
    </w:p>
    <w:p w14:paraId="78EFEDFE" w14:textId="77777777" w:rsidR="005711DF" w:rsidRPr="00960336" w:rsidRDefault="005711DF" w:rsidP="00520300">
      <w:pPr>
        <w:keepNext/>
        <w:widowControl/>
        <w:tabs>
          <w:tab w:val="left" w:pos="3600"/>
        </w:tabs>
        <w:spacing w:line="360" w:lineRule="auto"/>
        <w:ind w:left="720" w:hanging="720"/>
        <w:jc w:val="both"/>
        <w:rPr>
          <w:sz w:val="24"/>
          <w:szCs w:val="24"/>
        </w:rPr>
      </w:pPr>
      <w:r w:rsidRPr="00706514">
        <w:rPr>
          <w:b/>
          <w:sz w:val="24"/>
          <w:szCs w:val="24"/>
        </w:rPr>
        <w:t>Q.</w:t>
      </w:r>
      <w:r w:rsidRPr="00706514">
        <w:rPr>
          <w:b/>
          <w:sz w:val="24"/>
          <w:szCs w:val="24"/>
        </w:rPr>
        <w:tab/>
        <w:t xml:space="preserve">DOES </w:t>
      </w:r>
      <w:r>
        <w:rPr>
          <w:b/>
          <w:sz w:val="24"/>
          <w:szCs w:val="24"/>
        </w:rPr>
        <w:t xml:space="preserve">THE COMPANY SUPPORT MOVEMENTS TOWARDS PARITY </w:t>
      </w:r>
      <w:r w:rsidRPr="00183B1F">
        <w:rPr>
          <w:b/>
          <w:sz w:val="24"/>
          <w:szCs w:val="24"/>
        </w:rPr>
        <w:t>AMONG RATE GROUPS?</w:t>
      </w:r>
      <w:r w:rsidRPr="00960336">
        <w:rPr>
          <w:sz w:val="24"/>
          <w:szCs w:val="24"/>
        </w:rPr>
        <w:t xml:space="preserve"> </w:t>
      </w:r>
    </w:p>
    <w:p w14:paraId="278A316C" w14:textId="2BB01FBF" w:rsidR="005711DF" w:rsidRDefault="005711DF" w:rsidP="005711DF">
      <w:pPr>
        <w:widowControl/>
        <w:tabs>
          <w:tab w:val="left" w:pos="3600"/>
        </w:tabs>
        <w:spacing w:line="360" w:lineRule="auto"/>
        <w:ind w:left="720" w:hanging="720"/>
        <w:jc w:val="both"/>
        <w:rPr>
          <w:sz w:val="24"/>
          <w:szCs w:val="24"/>
        </w:rPr>
      </w:pPr>
      <w:r>
        <w:rPr>
          <w:sz w:val="24"/>
          <w:szCs w:val="24"/>
        </w:rPr>
        <w:t>A.</w:t>
      </w:r>
      <w:r>
        <w:rPr>
          <w:sz w:val="24"/>
          <w:szCs w:val="24"/>
        </w:rPr>
        <w:tab/>
      </w:r>
      <w:r w:rsidR="002F623A">
        <w:rPr>
          <w:sz w:val="24"/>
          <w:szCs w:val="24"/>
        </w:rPr>
        <w:t xml:space="preserve">Yes. </w:t>
      </w:r>
      <w:r>
        <w:rPr>
          <w:sz w:val="24"/>
          <w:szCs w:val="24"/>
        </w:rPr>
        <w:t xml:space="preserve">The Company has made movements toward parity in previous rate cases based on staff’s recommendation. While the Company supports movement toward parity, the Company does not support </w:t>
      </w:r>
      <w:r w:rsidR="002F623A">
        <w:rPr>
          <w:sz w:val="24"/>
          <w:szCs w:val="24"/>
        </w:rPr>
        <w:t xml:space="preserve">the </w:t>
      </w:r>
      <w:r>
        <w:rPr>
          <w:sz w:val="24"/>
          <w:szCs w:val="24"/>
        </w:rPr>
        <w:t>parity adjustments outlined in</w:t>
      </w:r>
      <w:r w:rsidR="002F623A">
        <w:rPr>
          <w:sz w:val="24"/>
          <w:szCs w:val="24"/>
        </w:rPr>
        <w:t xml:space="preserve"> the</w:t>
      </w:r>
      <w:r>
        <w:rPr>
          <w:sz w:val="24"/>
          <w:szCs w:val="24"/>
        </w:rPr>
        <w:t xml:space="preserve"> testimony of </w:t>
      </w:r>
      <w:r w:rsidR="00561C0F">
        <w:rPr>
          <w:sz w:val="24"/>
          <w:szCs w:val="24"/>
        </w:rPr>
        <w:t xml:space="preserve">Mr. </w:t>
      </w:r>
      <w:r>
        <w:rPr>
          <w:sz w:val="24"/>
          <w:szCs w:val="24"/>
        </w:rPr>
        <w:t xml:space="preserve">Pollock. </w:t>
      </w:r>
      <w:r w:rsidR="00A22D99">
        <w:rPr>
          <w:sz w:val="24"/>
          <w:szCs w:val="24"/>
        </w:rPr>
        <w:t>Any a</w:t>
      </w:r>
      <w:r>
        <w:rPr>
          <w:sz w:val="24"/>
          <w:szCs w:val="24"/>
        </w:rPr>
        <w:t xml:space="preserve">djustments towards parity should be based upon the specific </w:t>
      </w:r>
      <w:r w:rsidR="004A3D96">
        <w:rPr>
          <w:sz w:val="24"/>
          <w:szCs w:val="24"/>
        </w:rPr>
        <w:t>COSS</w:t>
      </w:r>
      <w:r>
        <w:rPr>
          <w:sz w:val="24"/>
          <w:szCs w:val="24"/>
        </w:rPr>
        <w:t xml:space="preserve"> filed by the Company in the rate case filing. Additionally, the Company supports parity adjustments based on rate group</w:t>
      </w:r>
      <w:r w:rsidR="000B6EA3">
        <w:rPr>
          <w:sz w:val="24"/>
          <w:szCs w:val="24"/>
        </w:rPr>
        <w:t>,</w:t>
      </w:r>
      <w:r>
        <w:rPr>
          <w:sz w:val="24"/>
          <w:szCs w:val="24"/>
        </w:rPr>
        <w:t xml:space="preserve"> not individual rate.</w:t>
      </w:r>
    </w:p>
    <w:p w14:paraId="14738E8F" w14:textId="77777777" w:rsidR="00B63F54" w:rsidRDefault="00B63F54" w:rsidP="005711DF">
      <w:pPr>
        <w:widowControl/>
        <w:tabs>
          <w:tab w:val="left" w:pos="3600"/>
        </w:tabs>
        <w:spacing w:line="360" w:lineRule="auto"/>
        <w:ind w:left="720" w:hanging="720"/>
        <w:jc w:val="both"/>
        <w:rPr>
          <w:sz w:val="24"/>
          <w:szCs w:val="24"/>
        </w:rPr>
      </w:pPr>
    </w:p>
    <w:p w14:paraId="334C3BCE" w14:textId="77777777" w:rsidR="001412EE" w:rsidRDefault="001412EE" w:rsidP="001412EE">
      <w:pPr>
        <w:keepNext/>
        <w:widowControl/>
        <w:spacing w:line="360" w:lineRule="auto"/>
        <w:ind w:left="720" w:hanging="720"/>
        <w:jc w:val="center"/>
        <w:rPr>
          <w:sz w:val="24"/>
          <w:szCs w:val="24"/>
        </w:rPr>
      </w:pPr>
      <w:r w:rsidRPr="00F04ABC">
        <w:rPr>
          <w:b/>
          <w:sz w:val="24"/>
          <w:szCs w:val="24"/>
        </w:rPr>
        <w:t xml:space="preserve">V.  </w:t>
      </w:r>
      <w:r w:rsidRPr="00F04ABC">
        <w:rPr>
          <w:b/>
          <w:sz w:val="24"/>
          <w:szCs w:val="24"/>
          <w:u w:val="single"/>
        </w:rPr>
        <w:t xml:space="preserve">RNR </w:t>
      </w:r>
      <w:r>
        <w:rPr>
          <w:b/>
          <w:sz w:val="24"/>
          <w:szCs w:val="24"/>
          <w:u w:val="single"/>
        </w:rPr>
        <w:t>TARIFF</w:t>
      </w:r>
    </w:p>
    <w:p w14:paraId="0E9F182B" w14:textId="77777777" w:rsidR="001412EE" w:rsidRDefault="001412EE" w:rsidP="001412EE">
      <w:pPr>
        <w:keepNext/>
        <w:widowControl/>
        <w:spacing w:line="360" w:lineRule="auto"/>
        <w:ind w:left="720" w:hanging="720"/>
        <w:jc w:val="both"/>
        <w:rPr>
          <w:sz w:val="24"/>
          <w:szCs w:val="24"/>
        </w:rPr>
      </w:pPr>
    </w:p>
    <w:p w14:paraId="086EE44B" w14:textId="7A8F22DA" w:rsidR="001412EE" w:rsidRDefault="001412EE" w:rsidP="001412EE">
      <w:pPr>
        <w:keepNext/>
        <w:widowControl/>
        <w:spacing w:line="360" w:lineRule="auto"/>
        <w:ind w:left="720" w:hanging="720"/>
        <w:jc w:val="both"/>
        <w:rPr>
          <w:b/>
          <w:sz w:val="24"/>
          <w:szCs w:val="24"/>
        </w:rPr>
      </w:pPr>
      <w:r w:rsidRPr="00AF627E">
        <w:rPr>
          <w:b/>
          <w:sz w:val="24"/>
          <w:szCs w:val="24"/>
        </w:rPr>
        <w:t>Q</w:t>
      </w:r>
      <w:bookmarkStart w:id="3" w:name="_Hlk24650035"/>
      <w:r w:rsidRPr="00AF627E">
        <w:rPr>
          <w:b/>
          <w:sz w:val="24"/>
          <w:szCs w:val="24"/>
        </w:rPr>
        <w:t>.</w:t>
      </w:r>
      <w:r>
        <w:rPr>
          <w:sz w:val="24"/>
          <w:szCs w:val="24"/>
        </w:rPr>
        <w:tab/>
      </w:r>
      <w:r w:rsidRPr="00AF627E">
        <w:rPr>
          <w:b/>
          <w:sz w:val="24"/>
          <w:szCs w:val="24"/>
        </w:rPr>
        <w:t xml:space="preserve">DOES THE COMPANY AGREE WITH PIA STAFF’S ADJUSTMENTS TO GEORGIA POWER’S RECOMMENDED CHANGES TO THE </w:t>
      </w:r>
      <w:r w:rsidR="001A3F81">
        <w:rPr>
          <w:b/>
          <w:sz w:val="24"/>
          <w:szCs w:val="24"/>
        </w:rPr>
        <w:t>RENEWABLE AND NON-RENEWABLE</w:t>
      </w:r>
      <w:r w:rsidR="00EE475E">
        <w:rPr>
          <w:b/>
          <w:sz w:val="24"/>
          <w:szCs w:val="24"/>
        </w:rPr>
        <w:t xml:space="preserve"> (“</w:t>
      </w:r>
      <w:r w:rsidRPr="00AF627E">
        <w:rPr>
          <w:b/>
          <w:sz w:val="24"/>
          <w:szCs w:val="24"/>
        </w:rPr>
        <w:t>RNR</w:t>
      </w:r>
      <w:r w:rsidR="00EE475E">
        <w:rPr>
          <w:b/>
          <w:sz w:val="24"/>
          <w:szCs w:val="24"/>
        </w:rPr>
        <w:t>”)</w:t>
      </w:r>
      <w:r w:rsidRPr="00AF627E">
        <w:rPr>
          <w:b/>
          <w:sz w:val="24"/>
          <w:szCs w:val="24"/>
        </w:rPr>
        <w:t xml:space="preserve"> TARIFF</w:t>
      </w:r>
      <w:r w:rsidR="004A3D96">
        <w:rPr>
          <w:b/>
          <w:sz w:val="24"/>
          <w:szCs w:val="24"/>
        </w:rPr>
        <w:t>?</w:t>
      </w:r>
    </w:p>
    <w:p w14:paraId="2138CD57" w14:textId="1EBEB7A8" w:rsidR="001412EE" w:rsidRDefault="001412EE" w:rsidP="001412EE">
      <w:pPr>
        <w:widowControl/>
        <w:spacing w:line="360" w:lineRule="auto"/>
        <w:ind w:left="720" w:hanging="720"/>
        <w:jc w:val="both"/>
        <w:rPr>
          <w:sz w:val="24"/>
          <w:szCs w:val="24"/>
        </w:rPr>
      </w:pPr>
      <w:r>
        <w:rPr>
          <w:sz w:val="24"/>
          <w:szCs w:val="24"/>
        </w:rPr>
        <w:t>A.</w:t>
      </w:r>
      <w:r>
        <w:rPr>
          <w:sz w:val="24"/>
          <w:szCs w:val="24"/>
        </w:rPr>
        <w:tab/>
        <w:t>Yes. The Company accepts PIA Staff’s adjustments to the Company’s proposed RNR changes</w:t>
      </w:r>
      <w:r w:rsidR="00445408">
        <w:rPr>
          <w:sz w:val="24"/>
          <w:szCs w:val="24"/>
        </w:rPr>
        <w:t xml:space="preserve"> for</w:t>
      </w:r>
      <w:r>
        <w:rPr>
          <w:sz w:val="24"/>
          <w:szCs w:val="24"/>
        </w:rPr>
        <w:t xml:space="preserve"> substituting the phrase “No charge” for the </w:t>
      </w:r>
      <w:r w:rsidR="004A3D96">
        <w:rPr>
          <w:sz w:val="24"/>
          <w:szCs w:val="24"/>
        </w:rPr>
        <w:t xml:space="preserve">removal of the </w:t>
      </w:r>
      <w:r>
        <w:rPr>
          <w:sz w:val="24"/>
          <w:szCs w:val="24"/>
        </w:rPr>
        <w:t xml:space="preserve">bidirectional meter </w:t>
      </w:r>
      <w:r w:rsidR="004A3D96">
        <w:rPr>
          <w:sz w:val="24"/>
          <w:szCs w:val="24"/>
        </w:rPr>
        <w:t>charge</w:t>
      </w:r>
      <w:r>
        <w:rPr>
          <w:sz w:val="24"/>
          <w:szCs w:val="24"/>
        </w:rPr>
        <w:t xml:space="preserve"> rather than simply deleting the prior $2.82 charge. </w:t>
      </w:r>
      <w:r w:rsidR="00445408">
        <w:rPr>
          <w:sz w:val="24"/>
          <w:szCs w:val="24"/>
        </w:rPr>
        <w:t xml:space="preserve">However, the Company does not support replacing the term “nameplate capacity” with “maximum continuous output power.” The Company believes that nameplate capacity is a more generic term that is more readily understood. “Maximum continuous output power” is one of several similar terms used by different manufacturers to designate nameplate capacity and could be confusing. </w:t>
      </w:r>
    </w:p>
    <w:bookmarkEnd w:id="3"/>
    <w:p w14:paraId="1B2A5002" w14:textId="77777777" w:rsidR="001412EE" w:rsidRDefault="001412EE" w:rsidP="001412EE">
      <w:pPr>
        <w:widowControl/>
        <w:spacing w:line="360" w:lineRule="auto"/>
        <w:ind w:left="720" w:hanging="720"/>
        <w:jc w:val="both"/>
        <w:rPr>
          <w:sz w:val="24"/>
          <w:szCs w:val="24"/>
        </w:rPr>
      </w:pPr>
    </w:p>
    <w:p w14:paraId="414C288E" w14:textId="41085575" w:rsidR="001412EE" w:rsidRDefault="001412EE" w:rsidP="001412EE">
      <w:pPr>
        <w:widowControl/>
        <w:spacing w:line="360" w:lineRule="auto"/>
        <w:ind w:left="720" w:hanging="720"/>
        <w:jc w:val="both"/>
        <w:rPr>
          <w:sz w:val="24"/>
          <w:szCs w:val="24"/>
        </w:rPr>
      </w:pPr>
      <w:r w:rsidRPr="00086E03">
        <w:rPr>
          <w:b/>
          <w:sz w:val="24"/>
          <w:szCs w:val="24"/>
        </w:rPr>
        <w:t>Q.</w:t>
      </w:r>
      <w:r w:rsidRPr="00086E03">
        <w:rPr>
          <w:b/>
          <w:sz w:val="24"/>
          <w:szCs w:val="24"/>
        </w:rPr>
        <w:tab/>
        <w:t xml:space="preserve">WHAT IS YOUR UNDERSTANDING OF </w:t>
      </w:r>
      <w:r w:rsidR="00E676D1">
        <w:rPr>
          <w:b/>
          <w:sz w:val="24"/>
          <w:szCs w:val="24"/>
        </w:rPr>
        <w:t xml:space="preserve">HOW THE COMPANY </w:t>
      </w:r>
      <w:r w:rsidR="00F90FDA">
        <w:rPr>
          <w:b/>
          <w:sz w:val="24"/>
          <w:szCs w:val="24"/>
        </w:rPr>
        <w:t xml:space="preserve">IS SUPPOSED TO </w:t>
      </w:r>
      <w:r w:rsidR="00E676D1">
        <w:rPr>
          <w:b/>
          <w:sz w:val="24"/>
          <w:szCs w:val="24"/>
        </w:rPr>
        <w:t xml:space="preserve">MEASURE ENERGY </w:t>
      </w:r>
      <w:r w:rsidR="00F90FDA">
        <w:rPr>
          <w:b/>
          <w:sz w:val="24"/>
          <w:szCs w:val="24"/>
        </w:rPr>
        <w:t xml:space="preserve">TO AND </w:t>
      </w:r>
      <w:r w:rsidR="00E676D1">
        <w:rPr>
          <w:b/>
          <w:sz w:val="24"/>
          <w:szCs w:val="24"/>
        </w:rPr>
        <w:t>FROM RNR PARTICIPANTS</w:t>
      </w:r>
      <w:r w:rsidR="00F90FDA">
        <w:rPr>
          <w:b/>
          <w:sz w:val="24"/>
          <w:szCs w:val="24"/>
        </w:rPr>
        <w:t xml:space="preserve"> </w:t>
      </w:r>
      <w:r w:rsidR="004A3D96">
        <w:rPr>
          <w:b/>
          <w:sz w:val="24"/>
          <w:szCs w:val="24"/>
        </w:rPr>
        <w:t>UNDER</w:t>
      </w:r>
      <w:r w:rsidR="00F90FDA">
        <w:rPr>
          <w:b/>
          <w:sz w:val="24"/>
          <w:szCs w:val="24"/>
        </w:rPr>
        <w:t xml:space="preserve"> THE COGEN ACT</w:t>
      </w:r>
      <w:r w:rsidRPr="00086E03">
        <w:rPr>
          <w:b/>
          <w:sz w:val="24"/>
          <w:szCs w:val="24"/>
        </w:rPr>
        <w:t>?</w:t>
      </w:r>
    </w:p>
    <w:p w14:paraId="21BCA289" w14:textId="4588DA42" w:rsidR="001412EE" w:rsidRDefault="001412EE" w:rsidP="001412EE">
      <w:pPr>
        <w:widowControl/>
        <w:spacing w:line="360" w:lineRule="auto"/>
        <w:ind w:left="720" w:hanging="720"/>
        <w:jc w:val="both"/>
        <w:rPr>
          <w:sz w:val="24"/>
          <w:szCs w:val="24"/>
        </w:rPr>
      </w:pPr>
      <w:r>
        <w:rPr>
          <w:sz w:val="24"/>
          <w:szCs w:val="24"/>
        </w:rPr>
        <w:t xml:space="preserve">A. </w:t>
      </w:r>
      <w:r>
        <w:rPr>
          <w:sz w:val="24"/>
          <w:szCs w:val="24"/>
        </w:rPr>
        <w:tab/>
      </w:r>
      <w:r w:rsidR="00EE475E">
        <w:rPr>
          <w:sz w:val="24"/>
          <w:szCs w:val="24"/>
        </w:rPr>
        <w:t>While we are not attorneys, i</w:t>
      </w:r>
      <w:r w:rsidR="00BC3773">
        <w:rPr>
          <w:sz w:val="24"/>
          <w:szCs w:val="24"/>
        </w:rPr>
        <w:t xml:space="preserve">t is </w:t>
      </w:r>
      <w:r w:rsidR="00EE475E">
        <w:rPr>
          <w:sz w:val="24"/>
          <w:szCs w:val="24"/>
        </w:rPr>
        <w:t xml:space="preserve">our </w:t>
      </w:r>
      <w:r w:rsidR="00BC3773">
        <w:rPr>
          <w:sz w:val="24"/>
          <w:szCs w:val="24"/>
        </w:rPr>
        <w:t xml:space="preserve">understanding that the </w:t>
      </w:r>
      <w:r w:rsidR="007924FF">
        <w:rPr>
          <w:sz w:val="24"/>
          <w:szCs w:val="24"/>
        </w:rPr>
        <w:t>Cogen</w:t>
      </w:r>
      <w:r w:rsidR="00BC3773">
        <w:rPr>
          <w:sz w:val="24"/>
          <w:szCs w:val="24"/>
        </w:rPr>
        <w:t xml:space="preserve"> Act </w:t>
      </w:r>
      <w:r w:rsidR="00F5394A">
        <w:rPr>
          <w:sz w:val="24"/>
          <w:szCs w:val="24"/>
        </w:rPr>
        <w:t xml:space="preserve">provides for </w:t>
      </w:r>
      <w:r w:rsidR="00F90FDA">
        <w:rPr>
          <w:sz w:val="24"/>
          <w:szCs w:val="24"/>
        </w:rPr>
        <w:t>Georgia Power</w:t>
      </w:r>
      <w:r w:rsidR="00F5394A">
        <w:rPr>
          <w:sz w:val="24"/>
          <w:szCs w:val="24"/>
        </w:rPr>
        <w:t xml:space="preserve"> to measure the</w:t>
      </w:r>
      <w:r w:rsidR="00E676D1">
        <w:rPr>
          <w:sz w:val="24"/>
          <w:szCs w:val="24"/>
        </w:rPr>
        <w:t xml:space="preserve"> electricity</w:t>
      </w:r>
      <w:r w:rsidR="00F5394A">
        <w:rPr>
          <w:sz w:val="24"/>
          <w:szCs w:val="24"/>
        </w:rPr>
        <w:t xml:space="preserve"> produced or consumed </w:t>
      </w:r>
      <w:r w:rsidR="00F90FDA">
        <w:rPr>
          <w:sz w:val="24"/>
          <w:szCs w:val="24"/>
        </w:rPr>
        <w:t xml:space="preserve">by the RNR participant </w:t>
      </w:r>
      <w:r w:rsidR="00E676D1">
        <w:rPr>
          <w:sz w:val="24"/>
          <w:szCs w:val="24"/>
        </w:rPr>
        <w:t>during the billing period through</w:t>
      </w:r>
      <w:r w:rsidR="00F5394A">
        <w:rPr>
          <w:sz w:val="24"/>
          <w:szCs w:val="24"/>
        </w:rPr>
        <w:t xml:space="preserve"> normal metering </w:t>
      </w:r>
      <w:r w:rsidR="003A31FC">
        <w:rPr>
          <w:sz w:val="24"/>
          <w:szCs w:val="24"/>
        </w:rPr>
        <w:t xml:space="preserve">practices </w:t>
      </w:r>
      <w:r w:rsidR="00F5394A">
        <w:rPr>
          <w:sz w:val="24"/>
          <w:szCs w:val="24"/>
        </w:rPr>
        <w:t>using</w:t>
      </w:r>
      <w:r w:rsidR="00E77A32">
        <w:rPr>
          <w:sz w:val="24"/>
          <w:szCs w:val="24"/>
        </w:rPr>
        <w:t xml:space="preserve"> a</w:t>
      </w:r>
      <w:r w:rsidR="00F5394A">
        <w:rPr>
          <w:sz w:val="24"/>
          <w:szCs w:val="24"/>
        </w:rPr>
        <w:t xml:space="preserve"> bidirectional meter.</w:t>
      </w:r>
      <w:r w:rsidR="00E676D1">
        <w:rPr>
          <w:sz w:val="24"/>
          <w:szCs w:val="24"/>
        </w:rPr>
        <w:t xml:space="preserve"> </w:t>
      </w:r>
    </w:p>
    <w:p w14:paraId="5CB4182B" w14:textId="77777777" w:rsidR="001412EE" w:rsidRDefault="001412EE" w:rsidP="001412EE">
      <w:pPr>
        <w:widowControl/>
        <w:spacing w:line="360" w:lineRule="auto"/>
        <w:ind w:left="720" w:hanging="720"/>
        <w:jc w:val="both"/>
        <w:rPr>
          <w:sz w:val="24"/>
          <w:szCs w:val="24"/>
        </w:rPr>
      </w:pPr>
    </w:p>
    <w:p w14:paraId="040FFE85" w14:textId="3E540DD9" w:rsidR="001412EE" w:rsidRDefault="001412EE" w:rsidP="001412EE">
      <w:pPr>
        <w:widowControl/>
        <w:spacing w:line="360" w:lineRule="auto"/>
        <w:ind w:left="720" w:hanging="720"/>
        <w:jc w:val="both"/>
        <w:rPr>
          <w:sz w:val="24"/>
          <w:szCs w:val="24"/>
        </w:rPr>
      </w:pPr>
      <w:r w:rsidRPr="00086E03">
        <w:rPr>
          <w:b/>
          <w:sz w:val="24"/>
          <w:szCs w:val="24"/>
        </w:rPr>
        <w:t>Q.</w:t>
      </w:r>
      <w:r w:rsidRPr="00086E03">
        <w:rPr>
          <w:b/>
          <w:sz w:val="24"/>
          <w:szCs w:val="24"/>
        </w:rPr>
        <w:tab/>
      </w:r>
      <w:r w:rsidR="00E676D1">
        <w:rPr>
          <w:b/>
          <w:sz w:val="24"/>
          <w:szCs w:val="24"/>
        </w:rPr>
        <w:t>WHAT ARE THE COMPANY’S NORMA</w:t>
      </w:r>
      <w:r w:rsidR="00F90FDA">
        <w:rPr>
          <w:b/>
          <w:sz w:val="24"/>
          <w:szCs w:val="24"/>
        </w:rPr>
        <w:t>L</w:t>
      </w:r>
      <w:r w:rsidR="00E676D1">
        <w:rPr>
          <w:b/>
          <w:sz w:val="24"/>
          <w:szCs w:val="24"/>
        </w:rPr>
        <w:t xml:space="preserve"> METERING PRACTICES USING BIDIRECTIONAL METERING</w:t>
      </w:r>
      <w:r w:rsidRPr="00086E03">
        <w:rPr>
          <w:b/>
          <w:sz w:val="24"/>
          <w:szCs w:val="24"/>
        </w:rPr>
        <w:t>?</w:t>
      </w:r>
    </w:p>
    <w:p w14:paraId="5C23D82E" w14:textId="3F101C76" w:rsidR="009554D8" w:rsidRPr="009554D8" w:rsidRDefault="001412EE" w:rsidP="0009160E">
      <w:pPr>
        <w:widowControl/>
        <w:spacing w:line="360" w:lineRule="auto"/>
        <w:ind w:left="720" w:hanging="720"/>
        <w:jc w:val="both"/>
        <w:rPr>
          <w:sz w:val="24"/>
          <w:szCs w:val="24"/>
        </w:rPr>
      </w:pPr>
      <w:r>
        <w:rPr>
          <w:sz w:val="24"/>
          <w:szCs w:val="24"/>
        </w:rPr>
        <w:t>A.</w:t>
      </w:r>
      <w:r>
        <w:rPr>
          <w:sz w:val="24"/>
          <w:szCs w:val="24"/>
        </w:rPr>
        <w:tab/>
      </w:r>
      <w:r w:rsidR="009554D8">
        <w:rPr>
          <w:sz w:val="24"/>
          <w:szCs w:val="24"/>
        </w:rPr>
        <w:t>Georgia Power uses bidirectional meters to monitor and track the flow of electricity from Georgia Power to the RNR customer and back from the RNR customer to Georgia Power. The Company’s bidirectional meters net the</w:t>
      </w:r>
      <w:r w:rsidR="00502FA2">
        <w:rPr>
          <w:sz w:val="24"/>
          <w:szCs w:val="24"/>
        </w:rPr>
        <w:t xml:space="preserve"> customer’s</w:t>
      </w:r>
      <w:r w:rsidR="009554D8">
        <w:rPr>
          <w:sz w:val="24"/>
          <w:szCs w:val="24"/>
        </w:rPr>
        <w:t xml:space="preserve"> production or consumption instantaneously. </w:t>
      </w:r>
      <w:r w:rsidR="00F620D8">
        <w:rPr>
          <w:sz w:val="24"/>
          <w:szCs w:val="24"/>
        </w:rPr>
        <w:t xml:space="preserve">Based on the fundamental nature of </w:t>
      </w:r>
      <w:r w:rsidR="00AD7118">
        <w:rPr>
          <w:sz w:val="24"/>
          <w:szCs w:val="24"/>
        </w:rPr>
        <w:t>electricity and</w:t>
      </w:r>
      <w:r w:rsidR="00F620D8">
        <w:rPr>
          <w:sz w:val="24"/>
          <w:szCs w:val="24"/>
        </w:rPr>
        <w:t xml:space="preserve"> the laws of physics, a</w:t>
      </w:r>
      <w:r w:rsidR="009554D8">
        <w:rPr>
          <w:sz w:val="24"/>
          <w:szCs w:val="24"/>
        </w:rPr>
        <w:t xml:space="preserve">t any given moment, an RNR customer cannot be drawing energy from the grid and pushing energy back to the grid at the same time. </w:t>
      </w:r>
      <w:r w:rsidR="006E4768">
        <w:rPr>
          <w:sz w:val="24"/>
          <w:szCs w:val="24"/>
        </w:rPr>
        <w:t xml:space="preserve">When the customer uses more energy than </w:t>
      </w:r>
      <w:r w:rsidR="005041F2">
        <w:rPr>
          <w:sz w:val="24"/>
          <w:szCs w:val="24"/>
        </w:rPr>
        <w:t xml:space="preserve">they </w:t>
      </w:r>
      <w:r w:rsidR="006E4768">
        <w:rPr>
          <w:sz w:val="24"/>
          <w:szCs w:val="24"/>
        </w:rPr>
        <w:t xml:space="preserve">produce, the </w:t>
      </w:r>
      <w:r w:rsidR="00C21CE2">
        <w:rPr>
          <w:sz w:val="24"/>
          <w:szCs w:val="24"/>
        </w:rPr>
        <w:t>C</w:t>
      </w:r>
      <w:r w:rsidR="006E4768">
        <w:rPr>
          <w:sz w:val="24"/>
          <w:szCs w:val="24"/>
        </w:rPr>
        <w:t xml:space="preserve">ompany correctly charges the customer the retail rate for all energy consumed. Likewise, when the customer produces more energy than </w:t>
      </w:r>
      <w:r w:rsidR="005041F2">
        <w:rPr>
          <w:sz w:val="24"/>
          <w:szCs w:val="24"/>
        </w:rPr>
        <w:t>t</w:t>
      </w:r>
      <w:r w:rsidR="006E4768">
        <w:rPr>
          <w:sz w:val="24"/>
          <w:szCs w:val="24"/>
        </w:rPr>
        <w:t>he</w:t>
      </w:r>
      <w:r w:rsidR="005041F2">
        <w:rPr>
          <w:sz w:val="24"/>
          <w:szCs w:val="24"/>
        </w:rPr>
        <w:t>y</w:t>
      </w:r>
      <w:r w:rsidR="006E4768">
        <w:rPr>
          <w:sz w:val="24"/>
          <w:szCs w:val="24"/>
        </w:rPr>
        <w:t xml:space="preserve"> consume, the </w:t>
      </w:r>
      <w:r w:rsidR="00C21CE2">
        <w:rPr>
          <w:sz w:val="24"/>
          <w:szCs w:val="24"/>
        </w:rPr>
        <w:t xml:space="preserve">Company </w:t>
      </w:r>
      <w:r w:rsidR="006E4768">
        <w:rPr>
          <w:sz w:val="24"/>
          <w:szCs w:val="24"/>
        </w:rPr>
        <w:t xml:space="preserve">pays the customer its avoided cost rate for all energy sent to the grid. These charges and credits are accounted for at the end of the customer’s monthly billing period.  </w:t>
      </w:r>
    </w:p>
    <w:p w14:paraId="3F330C8E" w14:textId="4B1E9F81" w:rsidR="005711DF" w:rsidRDefault="005711DF" w:rsidP="005711DF">
      <w:pPr>
        <w:widowControl/>
        <w:spacing w:line="360" w:lineRule="auto"/>
        <w:ind w:left="720" w:hanging="720"/>
        <w:jc w:val="both"/>
        <w:rPr>
          <w:i/>
          <w:sz w:val="24"/>
          <w:szCs w:val="24"/>
        </w:rPr>
      </w:pPr>
    </w:p>
    <w:p w14:paraId="74C7B850" w14:textId="77777777" w:rsidR="005711DF" w:rsidRDefault="001412EE" w:rsidP="005711DF">
      <w:pPr>
        <w:widowControl/>
        <w:spacing w:line="360" w:lineRule="auto"/>
        <w:ind w:left="720" w:hanging="720"/>
        <w:jc w:val="both"/>
        <w:rPr>
          <w:b/>
          <w:sz w:val="24"/>
          <w:szCs w:val="24"/>
        </w:rPr>
      </w:pPr>
      <w:r w:rsidRPr="00437268">
        <w:rPr>
          <w:b/>
          <w:sz w:val="24"/>
          <w:szCs w:val="24"/>
        </w:rPr>
        <w:t>Q.</w:t>
      </w:r>
      <w:r w:rsidRPr="00437268">
        <w:rPr>
          <w:b/>
          <w:sz w:val="24"/>
          <w:szCs w:val="24"/>
        </w:rPr>
        <w:tab/>
        <w:t>HOW DOES THAT COMPARE TO THE MEASUREMENT APPROACH RECOMMENDED BY GIPL/SOUTHFACE/VOTE SOLAR WITNESSES FITCH AND GILLIAM?</w:t>
      </w:r>
      <w:r w:rsidR="005711DF">
        <w:rPr>
          <w:b/>
          <w:sz w:val="24"/>
          <w:szCs w:val="24"/>
        </w:rPr>
        <w:t xml:space="preserve"> </w:t>
      </w:r>
    </w:p>
    <w:p w14:paraId="54119927" w14:textId="4819521D" w:rsidR="004979EE" w:rsidRDefault="005711DF" w:rsidP="005711DF">
      <w:pPr>
        <w:widowControl/>
        <w:spacing w:line="360" w:lineRule="auto"/>
        <w:ind w:left="720" w:hanging="720"/>
        <w:jc w:val="both"/>
        <w:rPr>
          <w:sz w:val="24"/>
          <w:szCs w:val="24"/>
        </w:rPr>
      </w:pPr>
      <w:r w:rsidRPr="005711DF">
        <w:rPr>
          <w:sz w:val="24"/>
          <w:szCs w:val="24"/>
        </w:rPr>
        <w:t>A</w:t>
      </w:r>
      <w:r w:rsidR="001412EE">
        <w:rPr>
          <w:sz w:val="24"/>
          <w:szCs w:val="24"/>
        </w:rPr>
        <w:t>.</w:t>
      </w:r>
      <w:r w:rsidR="001412EE">
        <w:rPr>
          <w:sz w:val="24"/>
          <w:szCs w:val="24"/>
        </w:rPr>
        <w:tab/>
      </w:r>
      <w:r w:rsidR="009F50B3">
        <w:rPr>
          <w:sz w:val="24"/>
          <w:szCs w:val="24"/>
        </w:rPr>
        <w:t xml:space="preserve">Witnesses Fitch and Gilliam argue that the Company is required to measure and net the energy inflows and outflows from an RNR customer on a </w:t>
      </w:r>
      <w:r w:rsidR="009F50B3">
        <w:rPr>
          <w:i/>
          <w:sz w:val="24"/>
          <w:szCs w:val="24"/>
        </w:rPr>
        <w:t>monthly</w:t>
      </w:r>
      <w:r w:rsidR="009F50B3">
        <w:rPr>
          <w:sz w:val="24"/>
          <w:szCs w:val="24"/>
        </w:rPr>
        <w:t xml:space="preserve"> basis. </w:t>
      </w:r>
      <w:r w:rsidR="004979EE">
        <w:rPr>
          <w:sz w:val="24"/>
          <w:szCs w:val="24"/>
        </w:rPr>
        <w:t xml:space="preserve">Witnesses Fitch and Gilliam </w:t>
      </w:r>
      <w:r w:rsidR="00445622">
        <w:rPr>
          <w:sz w:val="24"/>
          <w:szCs w:val="24"/>
        </w:rPr>
        <w:t>opine</w:t>
      </w:r>
      <w:r w:rsidR="004979EE">
        <w:rPr>
          <w:sz w:val="24"/>
          <w:szCs w:val="24"/>
        </w:rPr>
        <w:t xml:space="preserve"> that the </w:t>
      </w:r>
      <w:r w:rsidR="007924FF">
        <w:rPr>
          <w:sz w:val="24"/>
          <w:szCs w:val="24"/>
        </w:rPr>
        <w:t>Cogen</w:t>
      </w:r>
      <w:r w:rsidR="004979EE">
        <w:rPr>
          <w:sz w:val="24"/>
          <w:szCs w:val="24"/>
        </w:rPr>
        <w:t xml:space="preserve"> Act </w:t>
      </w:r>
      <w:r w:rsidR="005041F2">
        <w:rPr>
          <w:sz w:val="24"/>
          <w:szCs w:val="24"/>
        </w:rPr>
        <w:t xml:space="preserve">states </w:t>
      </w:r>
      <w:r w:rsidR="004979EE">
        <w:rPr>
          <w:sz w:val="24"/>
          <w:szCs w:val="24"/>
        </w:rPr>
        <w:t>that the netting period and the billing period are the same and that a reasonable reader would assume that production and consumption are netted each month.</w:t>
      </w:r>
      <w:r w:rsidR="001D62D4">
        <w:rPr>
          <w:sz w:val="24"/>
          <w:szCs w:val="24"/>
        </w:rPr>
        <w:t xml:space="preserve"> </w:t>
      </w:r>
      <w:r w:rsidR="004979EE">
        <w:rPr>
          <w:sz w:val="24"/>
          <w:szCs w:val="24"/>
        </w:rPr>
        <w:t xml:space="preserve">Georgia Power </w:t>
      </w:r>
      <w:r w:rsidR="004A3D96">
        <w:rPr>
          <w:sz w:val="24"/>
          <w:szCs w:val="24"/>
        </w:rPr>
        <w:t>agrees</w:t>
      </w:r>
      <w:r w:rsidR="004979EE">
        <w:rPr>
          <w:sz w:val="24"/>
          <w:szCs w:val="24"/>
        </w:rPr>
        <w:t xml:space="preserve"> that the billing period is monthly</w:t>
      </w:r>
      <w:r w:rsidR="00445622">
        <w:rPr>
          <w:sz w:val="24"/>
          <w:szCs w:val="24"/>
        </w:rPr>
        <w:t>. In fact,</w:t>
      </w:r>
      <w:r w:rsidR="004979EE">
        <w:rPr>
          <w:sz w:val="24"/>
          <w:szCs w:val="24"/>
        </w:rPr>
        <w:t xml:space="preserve"> the Company credits RNR customers</w:t>
      </w:r>
      <w:r w:rsidR="00445622">
        <w:rPr>
          <w:sz w:val="24"/>
          <w:szCs w:val="24"/>
        </w:rPr>
        <w:t xml:space="preserve"> for any excess energy generated</w:t>
      </w:r>
      <w:r w:rsidR="004979EE">
        <w:rPr>
          <w:sz w:val="24"/>
          <w:szCs w:val="24"/>
        </w:rPr>
        <w:t xml:space="preserve"> </w:t>
      </w:r>
      <w:r w:rsidR="00445622">
        <w:rPr>
          <w:sz w:val="24"/>
          <w:szCs w:val="24"/>
        </w:rPr>
        <w:t>on their monthly bill.</w:t>
      </w:r>
      <w:r w:rsidR="004A3D96">
        <w:rPr>
          <w:sz w:val="24"/>
          <w:szCs w:val="24"/>
        </w:rPr>
        <w:t xml:space="preserve"> However</w:t>
      </w:r>
      <w:r w:rsidR="00353C33">
        <w:rPr>
          <w:sz w:val="24"/>
          <w:szCs w:val="24"/>
        </w:rPr>
        <w:t>,</w:t>
      </w:r>
      <w:r w:rsidR="004A3D96">
        <w:rPr>
          <w:sz w:val="24"/>
          <w:szCs w:val="24"/>
        </w:rPr>
        <w:t xml:space="preserve"> the fact that a participating customer is credited monthly for any excess energy generated over the billing period does not affect how that energy is measured in accordance with the Company’s </w:t>
      </w:r>
      <w:r w:rsidR="00C21CE2">
        <w:rPr>
          <w:sz w:val="24"/>
          <w:szCs w:val="24"/>
        </w:rPr>
        <w:t xml:space="preserve">“normal metering practices using bidirectional metering,” as directed by the </w:t>
      </w:r>
      <w:r w:rsidR="007924FF">
        <w:rPr>
          <w:sz w:val="24"/>
          <w:szCs w:val="24"/>
        </w:rPr>
        <w:t>Cogen</w:t>
      </w:r>
      <w:r w:rsidR="00C21CE2">
        <w:rPr>
          <w:sz w:val="24"/>
          <w:szCs w:val="24"/>
        </w:rPr>
        <w:t xml:space="preserve"> Act. Accepting the argument proffered by Witnesses Fitch and Gilliam would essentially result in Georgia Power “purchasing” solar customer production pushed back to the grid at the retail rate, thus creating additional costs for all other customers to cover</w:t>
      </w:r>
      <w:r w:rsidR="00445622">
        <w:rPr>
          <w:sz w:val="24"/>
          <w:szCs w:val="24"/>
        </w:rPr>
        <w:t>.</w:t>
      </w:r>
    </w:p>
    <w:p w14:paraId="0E6FF329" w14:textId="4075F95C" w:rsidR="00730B24" w:rsidRDefault="00730B24" w:rsidP="005711DF">
      <w:pPr>
        <w:widowControl/>
        <w:spacing w:line="360" w:lineRule="auto"/>
        <w:ind w:left="720" w:hanging="720"/>
        <w:jc w:val="both"/>
        <w:rPr>
          <w:sz w:val="24"/>
          <w:szCs w:val="24"/>
        </w:rPr>
      </w:pPr>
    </w:p>
    <w:p w14:paraId="08EC2022" w14:textId="3EAEA1FD" w:rsidR="00730B24" w:rsidRPr="00730B24" w:rsidRDefault="00730B24" w:rsidP="005711DF">
      <w:pPr>
        <w:widowControl/>
        <w:spacing w:line="360" w:lineRule="auto"/>
        <w:ind w:left="720" w:hanging="720"/>
        <w:jc w:val="both"/>
        <w:rPr>
          <w:b/>
          <w:sz w:val="24"/>
          <w:szCs w:val="24"/>
        </w:rPr>
      </w:pPr>
      <w:r w:rsidRPr="00730B24">
        <w:rPr>
          <w:b/>
          <w:sz w:val="24"/>
          <w:szCs w:val="24"/>
        </w:rPr>
        <w:t>Q.</w:t>
      </w:r>
      <w:r w:rsidRPr="00730B24">
        <w:rPr>
          <w:b/>
          <w:sz w:val="24"/>
          <w:szCs w:val="24"/>
        </w:rPr>
        <w:tab/>
        <w:t>IS THE COMPANY WILLING TO UPDATE THE LANGUAGE IN ITS RNR TARIFF TO EXPLAIN HOW GEORGIA POWER MEASURES THE ENERGY RNR CUSTOMERS GENERATE?</w:t>
      </w:r>
    </w:p>
    <w:p w14:paraId="4C893C7A" w14:textId="517C382D" w:rsidR="00730B24" w:rsidRDefault="00730B24" w:rsidP="005711DF">
      <w:pPr>
        <w:widowControl/>
        <w:spacing w:line="360" w:lineRule="auto"/>
        <w:ind w:left="720" w:hanging="720"/>
        <w:jc w:val="both"/>
        <w:rPr>
          <w:sz w:val="24"/>
          <w:szCs w:val="24"/>
        </w:rPr>
      </w:pPr>
      <w:r>
        <w:rPr>
          <w:sz w:val="24"/>
          <w:szCs w:val="24"/>
        </w:rPr>
        <w:t>A.</w:t>
      </w:r>
      <w:r>
        <w:rPr>
          <w:sz w:val="24"/>
          <w:szCs w:val="24"/>
        </w:rPr>
        <w:tab/>
      </w:r>
      <w:r w:rsidR="00726FB0">
        <w:rPr>
          <w:sz w:val="24"/>
          <w:szCs w:val="24"/>
        </w:rPr>
        <w:t xml:space="preserve">Yes, the Company is willing to revisit the RNR tariff </w:t>
      </w:r>
      <w:r w:rsidR="001637AA">
        <w:rPr>
          <w:sz w:val="24"/>
          <w:szCs w:val="24"/>
        </w:rPr>
        <w:t xml:space="preserve">language </w:t>
      </w:r>
      <w:r w:rsidR="00726FB0">
        <w:rPr>
          <w:sz w:val="24"/>
          <w:szCs w:val="24"/>
        </w:rPr>
        <w:t>to</w:t>
      </w:r>
      <w:r w:rsidR="001637AA">
        <w:rPr>
          <w:sz w:val="24"/>
          <w:szCs w:val="24"/>
        </w:rPr>
        <w:t xml:space="preserve"> clarify how energy consumption and production is measured for customers on that rate.</w:t>
      </w:r>
    </w:p>
    <w:p w14:paraId="6593300C" w14:textId="77777777" w:rsidR="003A31FC" w:rsidRDefault="003A31FC" w:rsidP="00F620D8">
      <w:pPr>
        <w:widowControl/>
        <w:spacing w:line="360" w:lineRule="auto"/>
        <w:ind w:left="720" w:hanging="720"/>
        <w:jc w:val="both"/>
        <w:rPr>
          <w:b/>
          <w:sz w:val="24"/>
          <w:szCs w:val="24"/>
        </w:rPr>
      </w:pPr>
    </w:p>
    <w:p w14:paraId="7433F643" w14:textId="7179A1CD" w:rsidR="001D62D4" w:rsidRPr="004640C4" w:rsidRDefault="001D62D4" w:rsidP="005711DF">
      <w:pPr>
        <w:widowControl/>
        <w:spacing w:line="360" w:lineRule="auto"/>
        <w:ind w:left="720" w:hanging="720"/>
        <w:jc w:val="both"/>
        <w:rPr>
          <w:b/>
          <w:sz w:val="24"/>
          <w:szCs w:val="24"/>
        </w:rPr>
      </w:pPr>
      <w:r w:rsidRPr="004640C4">
        <w:rPr>
          <w:b/>
          <w:sz w:val="24"/>
          <w:szCs w:val="24"/>
        </w:rPr>
        <w:t>Q.</w:t>
      </w:r>
      <w:r w:rsidRPr="004640C4">
        <w:rPr>
          <w:b/>
          <w:sz w:val="24"/>
          <w:szCs w:val="24"/>
        </w:rPr>
        <w:tab/>
        <w:t xml:space="preserve">DOES GEORGIA POWER </w:t>
      </w:r>
      <w:r w:rsidR="00F620D8">
        <w:rPr>
          <w:b/>
          <w:sz w:val="24"/>
          <w:szCs w:val="24"/>
        </w:rPr>
        <w:t>PROVIDE RETAIL CR</w:t>
      </w:r>
      <w:r w:rsidR="00AD7118">
        <w:rPr>
          <w:b/>
          <w:sz w:val="24"/>
          <w:szCs w:val="24"/>
        </w:rPr>
        <w:t>E</w:t>
      </w:r>
      <w:r w:rsidR="00F620D8">
        <w:rPr>
          <w:b/>
          <w:sz w:val="24"/>
          <w:szCs w:val="24"/>
        </w:rPr>
        <w:t>DIT FOR ENERGY PRODUCED IN</w:t>
      </w:r>
      <w:r w:rsidRPr="004640C4">
        <w:rPr>
          <w:b/>
          <w:sz w:val="24"/>
          <w:szCs w:val="24"/>
        </w:rPr>
        <w:t xml:space="preserve"> ITS COMMUNITY SOLAR PROGRAM?</w:t>
      </w:r>
    </w:p>
    <w:p w14:paraId="41A90C76" w14:textId="2F3BEFC9" w:rsidR="001D62D4" w:rsidRDefault="001D62D4" w:rsidP="005711DF">
      <w:pPr>
        <w:widowControl/>
        <w:spacing w:line="360" w:lineRule="auto"/>
        <w:ind w:left="720" w:hanging="720"/>
        <w:jc w:val="both"/>
        <w:rPr>
          <w:sz w:val="24"/>
          <w:szCs w:val="24"/>
        </w:rPr>
      </w:pPr>
      <w:r>
        <w:rPr>
          <w:sz w:val="24"/>
          <w:szCs w:val="24"/>
        </w:rPr>
        <w:t>A.</w:t>
      </w:r>
      <w:r>
        <w:rPr>
          <w:sz w:val="24"/>
          <w:szCs w:val="24"/>
        </w:rPr>
        <w:tab/>
        <w:t>Yes, and it</w:t>
      </w:r>
      <w:r w:rsidR="00E4016D">
        <w:rPr>
          <w:sz w:val="24"/>
          <w:szCs w:val="24"/>
        </w:rPr>
        <w:t xml:space="preserve"> i</w:t>
      </w:r>
      <w:r>
        <w:rPr>
          <w:sz w:val="24"/>
          <w:szCs w:val="24"/>
        </w:rPr>
        <w:t xml:space="preserve">s appropriate for Georgia Power to net the production of the Community Solar facility and consumption of participating customers </w:t>
      </w:r>
      <w:r w:rsidR="00F620D8">
        <w:rPr>
          <w:sz w:val="24"/>
          <w:szCs w:val="24"/>
        </w:rPr>
        <w:t xml:space="preserve">at a retail rate </w:t>
      </w:r>
      <w:r>
        <w:rPr>
          <w:sz w:val="24"/>
          <w:szCs w:val="24"/>
        </w:rPr>
        <w:t>on a monthly basis because customers</w:t>
      </w:r>
      <w:r w:rsidR="004640C4">
        <w:rPr>
          <w:sz w:val="24"/>
          <w:szCs w:val="24"/>
        </w:rPr>
        <w:t xml:space="preserve"> pay to participate</w:t>
      </w:r>
      <w:r>
        <w:rPr>
          <w:sz w:val="24"/>
          <w:szCs w:val="24"/>
        </w:rPr>
        <w:t xml:space="preserve"> in the Community Solar program. </w:t>
      </w:r>
      <w:r w:rsidR="00F620D8">
        <w:rPr>
          <w:sz w:val="24"/>
          <w:szCs w:val="24"/>
        </w:rPr>
        <w:t xml:space="preserve">The Community Solar monthly participation fee of $24.99 was explicitly designed to prevent the type of cost shift that the monthly billing scheme proposed by Witnesses Fitch and Gilliam would create. They </w:t>
      </w:r>
      <w:r>
        <w:rPr>
          <w:sz w:val="24"/>
          <w:szCs w:val="24"/>
        </w:rPr>
        <w:t xml:space="preserve">correctly characterize that customers who subscribe to a block of community solar get the kWh generated by their block </w:t>
      </w:r>
      <w:r w:rsidR="00C21CE2">
        <w:rPr>
          <w:sz w:val="24"/>
          <w:szCs w:val="24"/>
        </w:rPr>
        <w:t xml:space="preserve">netted </w:t>
      </w:r>
      <w:r>
        <w:rPr>
          <w:sz w:val="24"/>
          <w:szCs w:val="24"/>
        </w:rPr>
        <w:t xml:space="preserve">from their bill with any monthly excess compensated </w:t>
      </w:r>
      <w:r w:rsidR="004640C4">
        <w:rPr>
          <w:sz w:val="24"/>
          <w:szCs w:val="24"/>
        </w:rPr>
        <w:t xml:space="preserve">at the Company’s solar avoided cost rate. What Mr. Fitch and Mr. Gilliam ignore is that customers in the Community </w:t>
      </w:r>
      <w:r w:rsidR="00120DA7">
        <w:rPr>
          <w:sz w:val="24"/>
          <w:szCs w:val="24"/>
        </w:rPr>
        <w:t>S</w:t>
      </w:r>
      <w:r w:rsidR="004640C4">
        <w:rPr>
          <w:sz w:val="24"/>
          <w:szCs w:val="24"/>
        </w:rPr>
        <w:t>olar</w:t>
      </w:r>
      <w:r w:rsidR="00120DA7">
        <w:rPr>
          <w:sz w:val="24"/>
          <w:szCs w:val="24"/>
        </w:rPr>
        <w:t xml:space="preserve"> Program</w:t>
      </w:r>
      <w:r w:rsidR="004640C4">
        <w:rPr>
          <w:sz w:val="24"/>
          <w:szCs w:val="24"/>
        </w:rPr>
        <w:t xml:space="preserve"> pay for their block subscription</w:t>
      </w:r>
      <w:r w:rsidR="00A87AC3">
        <w:rPr>
          <w:sz w:val="24"/>
          <w:szCs w:val="24"/>
        </w:rPr>
        <w:t xml:space="preserve"> at a rate that</w:t>
      </w:r>
      <w:r w:rsidR="00C21CE2">
        <w:rPr>
          <w:sz w:val="24"/>
          <w:szCs w:val="24"/>
        </w:rPr>
        <w:t xml:space="preserve"> prevents any cost</w:t>
      </w:r>
      <w:r w:rsidR="00E56669">
        <w:rPr>
          <w:sz w:val="24"/>
          <w:szCs w:val="24"/>
        </w:rPr>
        <w:t xml:space="preserve"> </w:t>
      </w:r>
      <w:r w:rsidR="00C21CE2">
        <w:rPr>
          <w:sz w:val="24"/>
          <w:szCs w:val="24"/>
        </w:rPr>
        <w:t>shifting from occurring, and thus</w:t>
      </w:r>
      <w:r w:rsidR="00A87AC3">
        <w:rPr>
          <w:sz w:val="24"/>
          <w:szCs w:val="24"/>
        </w:rPr>
        <w:t xml:space="preserve"> ensures fairness for both participants and non-participants</w:t>
      </w:r>
      <w:r w:rsidR="004640C4">
        <w:rPr>
          <w:sz w:val="24"/>
          <w:szCs w:val="24"/>
        </w:rPr>
        <w:t xml:space="preserve">. </w:t>
      </w:r>
    </w:p>
    <w:p w14:paraId="26A72DB3" w14:textId="2D4880AB" w:rsidR="005711DF" w:rsidRDefault="005711DF" w:rsidP="005711DF">
      <w:pPr>
        <w:widowControl/>
        <w:spacing w:line="360" w:lineRule="auto"/>
        <w:ind w:left="720" w:hanging="720"/>
        <w:jc w:val="both"/>
        <w:rPr>
          <w:sz w:val="24"/>
          <w:szCs w:val="24"/>
        </w:rPr>
      </w:pPr>
    </w:p>
    <w:p w14:paraId="5A0E237B" w14:textId="7A5FC297" w:rsidR="00A87AC3" w:rsidRPr="007269A0" w:rsidRDefault="00A87AC3" w:rsidP="00A87AC3">
      <w:pPr>
        <w:widowControl/>
        <w:spacing w:line="360" w:lineRule="auto"/>
        <w:ind w:left="720" w:hanging="720"/>
        <w:jc w:val="both"/>
        <w:rPr>
          <w:b/>
          <w:sz w:val="24"/>
          <w:szCs w:val="24"/>
        </w:rPr>
      </w:pPr>
      <w:r w:rsidRPr="007269A0">
        <w:rPr>
          <w:b/>
          <w:sz w:val="24"/>
          <w:szCs w:val="24"/>
        </w:rPr>
        <w:t>Q.</w:t>
      </w:r>
      <w:r w:rsidRPr="007269A0">
        <w:rPr>
          <w:b/>
          <w:sz w:val="24"/>
          <w:szCs w:val="24"/>
        </w:rPr>
        <w:tab/>
      </w:r>
      <w:r w:rsidR="00732C0B">
        <w:rPr>
          <w:b/>
          <w:sz w:val="24"/>
          <w:szCs w:val="24"/>
        </w:rPr>
        <w:t>HOW DOES THE COMPANY BELIEVE CUSTOMERS SHOULD BE COMPENSATED FOR ENERGY THEY PUSH BACK TO THE GRID</w:t>
      </w:r>
    </w:p>
    <w:p w14:paraId="6B73FF38" w14:textId="7F6C7A07" w:rsidR="00A87AC3" w:rsidRDefault="00A87AC3" w:rsidP="00A87AC3">
      <w:pPr>
        <w:widowControl/>
        <w:spacing w:line="360" w:lineRule="auto"/>
        <w:ind w:left="720" w:hanging="720"/>
        <w:jc w:val="both"/>
        <w:rPr>
          <w:sz w:val="24"/>
          <w:szCs w:val="24"/>
        </w:rPr>
      </w:pPr>
      <w:r>
        <w:rPr>
          <w:sz w:val="24"/>
          <w:szCs w:val="24"/>
        </w:rPr>
        <w:t>A.</w:t>
      </w:r>
      <w:r>
        <w:rPr>
          <w:sz w:val="24"/>
          <w:szCs w:val="24"/>
        </w:rPr>
        <w:tab/>
        <w:t xml:space="preserve">The current commission-approved method of paying </w:t>
      </w:r>
      <w:r w:rsidR="001637AA">
        <w:rPr>
          <w:sz w:val="24"/>
          <w:szCs w:val="24"/>
        </w:rPr>
        <w:t xml:space="preserve">avoided costs based on the </w:t>
      </w:r>
      <w:r w:rsidR="00A85ACD">
        <w:rPr>
          <w:sz w:val="24"/>
          <w:szCs w:val="24"/>
        </w:rPr>
        <w:t>Renewable Cost Benefit (“</w:t>
      </w:r>
      <w:r>
        <w:rPr>
          <w:sz w:val="24"/>
          <w:szCs w:val="24"/>
        </w:rPr>
        <w:t>RCB</w:t>
      </w:r>
      <w:r w:rsidR="00A85ACD">
        <w:rPr>
          <w:sz w:val="24"/>
          <w:szCs w:val="24"/>
        </w:rPr>
        <w:t>”) Framework</w:t>
      </w:r>
      <w:r w:rsidR="001637AA">
        <w:rPr>
          <w:sz w:val="24"/>
          <w:szCs w:val="24"/>
        </w:rPr>
        <w:t xml:space="preserve"> </w:t>
      </w:r>
      <w:r>
        <w:rPr>
          <w:sz w:val="24"/>
          <w:szCs w:val="24"/>
        </w:rPr>
        <w:t xml:space="preserve">for any variable energy pushed back to the grid sends an appropriate price signal that </w:t>
      </w:r>
      <w:r w:rsidR="00E215B8">
        <w:rPr>
          <w:sz w:val="24"/>
          <w:szCs w:val="24"/>
        </w:rPr>
        <w:t xml:space="preserve">accurately </w:t>
      </w:r>
      <w:r>
        <w:rPr>
          <w:sz w:val="24"/>
          <w:szCs w:val="24"/>
        </w:rPr>
        <w:t>reflects the value this energy provides to the system. This accurate valuation encourages the installation of an appropriately sized system based on the premise</w:t>
      </w:r>
      <w:r w:rsidR="001637AA">
        <w:rPr>
          <w:sz w:val="24"/>
          <w:szCs w:val="24"/>
        </w:rPr>
        <w:t>s</w:t>
      </w:r>
      <w:r>
        <w:rPr>
          <w:sz w:val="24"/>
          <w:szCs w:val="24"/>
        </w:rPr>
        <w:t xml:space="preserve"> load, reducing the amount of cost shift created by customers who install </w:t>
      </w:r>
      <w:r w:rsidR="00A85ACD">
        <w:rPr>
          <w:sz w:val="24"/>
          <w:szCs w:val="24"/>
        </w:rPr>
        <w:t xml:space="preserve">behind the meter </w:t>
      </w:r>
      <w:r>
        <w:rPr>
          <w:sz w:val="24"/>
          <w:szCs w:val="24"/>
        </w:rPr>
        <w:t>solar.</w:t>
      </w:r>
    </w:p>
    <w:p w14:paraId="55239748" w14:textId="77777777" w:rsidR="00A87AC3" w:rsidRDefault="00A87AC3" w:rsidP="005711DF">
      <w:pPr>
        <w:widowControl/>
        <w:spacing w:line="360" w:lineRule="auto"/>
        <w:ind w:left="720" w:hanging="720"/>
        <w:jc w:val="both"/>
        <w:rPr>
          <w:sz w:val="24"/>
          <w:szCs w:val="24"/>
        </w:rPr>
      </w:pPr>
    </w:p>
    <w:p w14:paraId="4066FE2A" w14:textId="09E2BD82" w:rsidR="004A3D96" w:rsidRPr="007269A0" w:rsidRDefault="004A3D96" w:rsidP="005711DF">
      <w:pPr>
        <w:widowControl/>
        <w:spacing w:line="360" w:lineRule="auto"/>
        <w:ind w:left="720" w:hanging="720"/>
        <w:jc w:val="both"/>
        <w:rPr>
          <w:b/>
          <w:sz w:val="24"/>
          <w:szCs w:val="24"/>
        </w:rPr>
      </w:pPr>
      <w:r w:rsidRPr="007269A0">
        <w:rPr>
          <w:b/>
          <w:sz w:val="24"/>
          <w:szCs w:val="24"/>
        </w:rPr>
        <w:t>Q.</w:t>
      </w:r>
      <w:r w:rsidRPr="007269A0">
        <w:rPr>
          <w:b/>
          <w:sz w:val="24"/>
          <w:szCs w:val="24"/>
        </w:rPr>
        <w:tab/>
        <w:t>IS IT APPROPRIATE TO COMPARE GEORGIA POWER’S METERING OF RNR CUSTOMERS WITH OTHER UTILITIES?</w:t>
      </w:r>
    </w:p>
    <w:p w14:paraId="5A8CCC50" w14:textId="48B8A60B" w:rsidR="004A3D96" w:rsidRDefault="004A3D96" w:rsidP="005711DF">
      <w:pPr>
        <w:widowControl/>
        <w:spacing w:line="360" w:lineRule="auto"/>
        <w:ind w:left="720" w:hanging="720"/>
        <w:jc w:val="both"/>
        <w:rPr>
          <w:sz w:val="24"/>
          <w:szCs w:val="24"/>
        </w:rPr>
      </w:pPr>
      <w:r>
        <w:rPr>
          <w:sz w:val="24"/>
          <w:szCs w:val="24"/>
        </w:rPr>
        <w:t>A.</w:t>
      </w:r>
      <w:r>
        <w:rPr>
          <w:sz w:val="24"/>
          <w:szCs w:val="24"/>
        </w:rPr>
        <w:tab/>
        <w:t xml:space="preserve">No. Georgia Power measures the excess energy produced by RNR customers in accordance with the </w:t>
      </w:r>
      <w:r w:rsidR="003A31FC">
        <w:rPr>
          <w:sz w:val="24"/>
          <w:szCs w:val="24"/>
        </w:rPr>
        <w:t xml:space="preserve">Georgia </w:t>
      </w:r>
      <w:r w:rsidR="007924FF">
        <w:rPr>
          <w:sz w:val="24"/>
          <w:szCs w:val="24"/>
        </w:rPr>
        <w:t>Cogen</w:t>
      </w:r>
      <w:r>
        <w:rPr>
          <w:sz w:val="24"/>
          <w:szCs w:val="24"/>
        </w:rPr>
        <w:t xml:space="preserve"> Act. Investor owned-utilities in other states are not subject to th</w:t>
      </w:r>
      <w:r w:rsidR="007269A0">
        <w:rPr>
          <w:sz w:val="24"/>
          <w:szCs w:val="24"/>
        </w:rPr>
        <w:t xml:space="preserve">e requirements of the </w:t>
      </w:r>
      <w:r w:rsidR="003A31FC">
        <w:rPr>
          <w:sz w:val="24"/>
          <w:szCs w:val="24"/>
        </w:rPr>
        <w:t xml:space="preserve">Georgia </w:t>
      </w:r>
      <w:r w:rsidR="007924FF">
        <w:rPr>
          <w:sz w:val="24"/>
          <w:szCs w:val="24"/>
        </w:rPr>
        <w:t>Cogen</w:t>
      </w:r>
      <w:r w:rsidR="007269A0">
        <w:rPr>
          <w:sz w:val="24"/>
          <w:szCs w:val="24"/>
        </w:rPr>
        <w:t xml:space="preserve"> Act, thus the comparison is a moot point.</w:t>
      </w:r>
    </w:p>
    <w:p w14:paraId="6EC6D5A0" w14:textId="77777777" w:rsidR="00560005" w:rsidRDefault="00560005" w:rsidP="005711DF">
      <w:pPr>
        <w:widowControl/>
        <w:spacing w:line="360" w:lineRule="auto"/>
        <w:ind w:left="720" w:hanging="720"/>
        <w:jc w:val="both"/>
        <w:rPr>
          <w:sz w:val="24"/>
          <w:szCs w:val="24"/>
        </w:rPr>
      </w:pPr>
    </w:p>
    <w:p w14:paraId="13B0CC86" w14:textId="5FF0D504" w:rsidR="009F50B3" w:rsidRDefault="001412EE" w:rsidP="00387E95">
      <w:pPr>
        <w:widowControl/>
        <w:spacing w:line="360" w:lineRule="auto"/>
        <w:ind w:left="720" w:hanging="720"/>
        <w:jc w:val="both"/>
        <w:rPr>
          <w:b/>
          <w:sz w:val="24"/>
          <w:szCs w:val="24"/>
        </w:rPr>
      </w:pPr>
      <w:r w:rsidRPr="00086CCC">
        <w:rPr>
          <w:b/>
          <w:sz w:val="24"/>
          <w:szCs w:val="24"/>
        </w:rPr>
        <w:t>Q.</w:t>
      </w:r>
      <w:r w:rsidRPr="00086CCC">
        <w:rPr>
          <w:b/>
          <w:sz w:val="24"/>
          <w:szCs w:val="24"/>
        </w:rPr>
        <w:tab/>
      </w:r>
      <w:r w:rsidR="009F50B3">
        <w:rPr>
          <w:b/>
          <w:sz w:val="24"/>
          <w:szCs w:val="24"/>
        </w:rPr>
        <w:t>HAS</w:t>
      </w:r>
      <w:r w:rsidRPr="00086CCC">
        <w:rPr>
          <w:b/>
          <w:sz w:val="24"/>
          <w:szCs w:val="24"/>
        </w:rPr>
        <w:t xml:space="preserve"> THE COMMISSION REVIEW</w:t>
      </w:r>
      <w:r w:rsidR="00672C2A">
        <w:rPr>
          <w:b/>
          <w:sz w:val="24"/>
          <w:szCs w:val="24"/>
        </w:rPr>
        <w:t>ED</w:t>
      </w:r>
      <w:r w:rsidRPr="00086CCC">
        <w:rPr>
          <w:b/>
          <w:sz w:val="24"/>
          <w:szCs w:val="24"/>
        </w:rPr>
        <w:t xml:space="preserve"> THE RNR TARIFF FOR COMPLIANCE WITH THE ACT?</w:t>
      </w:r>
    </w:p>
    <w:p w14:paraId="15609B30" w14:textId="4634F039" w:rsidR="00672C2A" w:rsidRDefault="001412EE" w:rsidP="009F50B3">
      <w:pPr>
        <w:widowControl/>
        <w:spacing w:line="360" w:lineRule="auto"/>
        <w:ind w:left="720" w:hanging="720"/>
        <w:jc w:val="both"/>
        <w:rPr>
          <w:sz w:val="24"/>
          <w:szCs w:val="24"/>
        </w:rPr>
      </w:pPr>
      <w:r>
        <w:rPr>
          <w:sz w:val="24"/>
          <w:szCs w:val="24"/>
        </w:rPr>
        <w:t>A.</w:t>
      </w:r>
      <w:r>
        <w:rPr>
          <w:sz w:val="24"/>
          <w:szCs w:val="24"/>
        </w:rPr>
        <w:tab/>
      </w:r>
      <w:r w:rsidR="009F50B3">
        <w:rPr>
          <w:sz w:val="24"/>
          <w:szCs w:val="24"/>
        </w:rPr>
        <w:t xml:space="preserve">Yes. </w:t>
      </w:r>
      <w:r w:rsidR="00672C2A">
        <w:rPr>
          <w:sz w:val="24"/>
          <w:szCs w:val="24"/>
        </w:rPr>
        <w:t xml:space="preserve">The RNR </w:t>
      </w:r>
      <w:r w:rsidR="00726FB0">
        <w:rPr>
          <w:sz w:val="24"/>
          <w:szCs w:val="24"/>
        </w:rPr>
        <w:t>t</w:t>
      </w:r>
      <w:r w:rsidR="00672C2A">
        <w:rPr>
          <w:sz w:val="24"/>
          <w:szCs w:val="24"/>
        </w:rPr>
        <w:t xml:space="preserve">ariff was proposed by the Company as its mechanism to comply with the requirements of the </w:t>
      </w:r>
      <w:r w:rsidR="007924FF">
        <w:rPr>
          <w:sz w:val="24"/>
          <w:szCs w:val="24"/>
        </w:rPr>
        <w:t>Cogen</w:t>
      </w:r>
      <w:r w:rsidR="00672C2A">
        <w:rPr>
          <w:sz w:val="24"/>
          <w:szCs w:val="24"/>
        </w:rPr>
        <w:t xml:space="preserve"> Act. </w:t>
      </w:r>
      <w:r w:rsidR="009F50B3">
        <w:rPr>
          <w:sz w:val="24"/>
          <w:szCs w:val="24"/>
        </w:rPr>
        <w:t xml:space="preserve">The Commission originally reviewed and approved the RNR </w:t>
      </w:r>
      <w:r w:rsidR="00726FB0">
        <w:rPr>
          <w:sz w:val="24"/>
          <w:szCs w:val="24"/>
        </w:rPr>
        <w:t>t</w:t>
      </w:r>
      <w:r w:rsidR="009F50B3">
        <w:rPr>
          <w:sz w:val="24"/>
          <w:szCs w:val="24"/>
        </w:rPr>
        <w:t xml:space="preserve">ariff in 2003 </w:t>
      </w:r>
      <w:r w:rsidR="00672C2A">
        <w:rPr>
          <w:sz w:val="24"/>
          <w:szCs w:val="24"/>
        </w:rPr>
        <w:t>for that</w:t>
      </w:r>
      <w:r w:rsidR="00724E12">
        <w:rPr>
          <w:sz w:val="24"/>
          <w:szCs w:val="24"/>
        </w:rPr>
        <w:t xml:space="preserve"> exact</w:t>
      </w:r>
      <w:r w:rsidR="00672C2A">
        <w:rPr>
          <w:sz w:val="24"/>
          <w:szCs w:val="24"/>
        </w:rPr>
        <w:t xml:space="preserve"> purpose</w:t>
      </w:r>
      <w:r w:rsidR="009F50B3">
        <w:rPr>
          <w:sz w:val="24"/>
          <w:szCs w:val="24"/>
        </w:rPr>
        <w:t>.</w:t>
      </w:r>
      <w:r w:rsidR="00672C2A">
        <w:rPr>
          <w:sz w:val="24"/>
          <w:szCs w:val="24"/>
        </w:rPr>
        <w:t xml:space="preserve"> </w:t>
      </w:r>
      <w:r w:rsidR="00724E12">
        <w:rPr>
          <w:sz w:val="24"/>
          <w:szCs w:val="24"/>
        </w:rPr>
        <w:t>Further, t</w:t>
      </w:r>
      <w:r w:rsidR="00672C2A">
        <w:rPr>
          <w:sz w:val="24"/>
          <w:szCs w:val="24"/>
        </w:rPr>
        <w:t xml:space="preserve">he RNR </w:t>
      </w:r>
      <w:r w:rsidR="00726FB0">
        <w:rPr>
          <w:sz w:val="24"/>
          <w:szCs w:val="24"/>
        </w:rPr>
        <w:t>t</w:t>
      </w:r>
      <w:r w:rsidR="00672C2A">
        <w:rPr>
          <w:sz w:val="24"/>
          <w:szCs w:val="24"/>
        </w:rPr>
        <w:t xml:space="preserve">ariff has been </w:t>
      </w:r>
      <w:r w:rsidR="00724E12">
        <w:rPr>
          <w:sz w:val="24"/>
          <w:szCs w:val="24"/>
        </w:rPr>
        <w:t>reviewed and approved</w:t>
      </w:r>
      <w:r w:rsidR="00672C2A">
        <w:rPr>
          <w:sz w:val="24"/>
          <w:szCs w:val="24"/>
        </w:rPr>
        <w:t xml:space="preserve"> as part of the Company’s rate offerings in each </w:t>
      </w:r>
      <w:r w:rsidR="007269A0">
        <w:rPr>
          <w:sz w:val="24"/>
          <w:szCs w:val="24"/>
        </w:rPr>
        <w:t xml:space="preserve">base </w:t>
      </w:r>
      <w:r w:rsidR="00672C2A">
        <w:rPr>
          <w:sz w:val="24"/>
          <w:szCs w:val="24"/>
        </w:rPr>
        <w:t>rate c</w:t>
      </w:r>
      <w:r w:rsidR="00724E12">
        <w:rPr>
          <w:sz w:val="24"/>
          <w:szCs w:val="24"/>
        </w:rPr>
        <w:t xml:space="preserve">ase since that time. Although the RNR </w:t>
      </w:r>
      <w:r w:rsidR="00726FB0">
        <w:rPr>
          <w:sz w:val="24"/>
          <w:szCs w:val="24"/>
        </w:rPr>
        <w:t>t</w:t>
      </w:r>
      <w:r w:rsidR="00724E12">
        <w:rPr>
          <w:sz w:val="24"/>
          <w:szCs w:val="24"/>
        </w:rPr>
        <w:t>ariff has been revised nine times, how the Company measures energy inflows and outflows to RNR participants has not changed</w:t>
      </w:r>
      <w:r w:rsidR="007269A0">
        <w:rPr>
          <w:sz w:val="24"/>
          <w:szCs w:val="24"/>
        </w:rPr>
        <w:t xml:space="preserve"> since the RNR </w:t>
      </w:r>
      <w:r w:rsidR="00726FB0">
        <w:rPr>
          <w:sz w:val="24"/>
          <w:szCs w:val="24"/>
        </w:rPr>
        <w:t>t</w:t>
      </w:r>
      <w:r w:rsidR="007269A0">
        <w:rPr>
          <w:sz w:val="24"/>
          <w:szCs w:val="24"/>
        </w:rPr>
        <w:t>ariff was originally approved</w:t>
      </w:r>
      <w:r w:rsidR="00724E12">
        <w:rPr>
          <w:sz w:val="24"/>
          <w:szCs w:val="24"/>
        </w:rPr>
        <w:t xml:space="preserve">. </w:t>
      </w:r>
    </w:p>
    <w:p w14:paraId="01421158" w14:textId="77777777" w:rsidR="00724E12" w:rsidRDefault="00724E12" w:rsidP="009F50B3">
      <w:pPr>
        <w:widowControl/>
        <w:spacing w:line="360" w:lineRule="auto"/>
        <w:ind w:left="720" w:hanging="720"/>
        <w:jc w:val="both"/>
        <w:rPr>
          <w:sz w:val="24"/>
          <w:szCs w:val="24"/>
        </w:rPr>
      </w:pPr>
    </w:p>
    <w:p w14:paraId="41AAE926" w14:textId="77777777" w:rsidR="001412EE" w:rsidRDefault="001412EE" w:rsidP="007269A0">
      <w:pPr>
        <w:keepNext/>
        <w:widowControl/>
        <w:spacing w:line="360" w:lineRule="auto"/>
        <w:ind w:left="720" w:hanging="720"/>
        <w:jc w:val="center"/>
        <w:rPr>
          <w:b/>
          <w:sz w:val="24"/>
          <w:szCs w:val="24"/>
          <w:u w:val="single"/>
        </w:rPr>
      </w:pPr>
      <w:r w:rsidRPr="00F04ABC">
        <w:rPr>
          <w:b/>
          <w:sz w:val="24"/>
          <w:szCs w:val="24"/>
        </w:rPr>
        <w:t xml:space="preserve">VI.  </w:t>
      </w:r>
      <w:r>
        <w:rPr>
          <w:b/>
          <w:sz w:val="24"/>
          <w:szCs w:val="24"/>
          <w:u w:val="single"/>
        </w:rPr>
        <w:t>CUSTOMER USAGE DATA</w:t>
      </w:r>
    </w:p>
    <w:p w14:paraId="54BF1C6A" w14:textId="77777777" w:rsidR="001412EE" w:rsidRDefault="001412EE" w:rsidP="007269A0">
      <w:pPr>
        <w:keepNext/>
        <w:widowControl/>
        <w:spacing w:line="360" w:lineRule="auto"/>
        <w:ind w:left="720" w:hanging="720"/>
        <w:jc w:val="both"/>
        <w:rPr>
          <w:b/>
          <w:bCs/>
          <w:spacing w:val="-7"/>
          <w:sz w:val="24"/>
          <w:szCs w:val="24"/>
        </w:rPr>
      </w:pPr>
    </w:p>
    <w:p w14:paraId="1E7A42C7" w14:textId="08541793" w:rsidR="001412EE" w:rsidRPr="00E77A32" w:rsidRDefault="001412EE" w:rsidP="001412EE">
      <w:pPr>
        <w:widowControl/>
        <w:spacing w:line="360" w:lineRule="auto"/>
        <w:ind w:left="720" w:hanging="720"/>
        <w:jc w:val="both"/>
        <w:rPr>
          <w:b/>
          <w:sz w:val="24"/>
          <w:szCs w:val="24"/>
        </w:rPr>
      </w:pPr>
      <w:r w:rsidRPr="00E77A32">
        <w:rPr>
          <w:b/>
          <w:sz w:val="24"/>
          <w:szCs w:val="24"/>
        </w:rPr>
        <w:t>Q.</w:t>
      </w:r>
      <w:r w:rsidRPr="00E77A32">
        <w:rPr>
          <w:b/>
          <w:sz w:val="24"/>
          <w:szCs w:val="24"/>
        </w:rPr>
        <w:tab/>
        <w:t xml:space="preserve">DOES GEORGIA </w:t>
      </w:r>
      <w:r w:rsidR="00120DA7" w:rsidRPr="00E77A32">
        <w:rPr>
          <w:b/>
          <w:sz w:val="24"/>
          <w:szCs w:val="24"/>
        </w:rPr>
        <w:t xml:space="preserve">POWER </w:t>
      </w:r>
      <w:r w:rsidRPr="00E77A32">
        <w:rPr>
          <w:b/>
          <w:sz w:val="24"/>
          <w:szCs w:val="24"/>
        </w:rPr>
        <w:t>SUPPORT PROVIDING RESIDENTIAL CUSTOMER</w:t>
      </w:r>
      <w:r w:rsidR="00120DA7" w:rsidRPr="00E77A32">
        <w:rPr>
          <w:b/>
          <w:sz w:val="24"/>
          <w:szCs w:val="24"/>
        </w:rPr>
        <w:t>S</w:t>
      </w:r>
      <w:r w:rsidRPr="00E77A32">
        <w:rPr>
          <w:b/>
          <w:sz w:val="24"/>
          <w:szCs w:val="24"/>
        </w:rPr>
        <w:t xml:space="preserve"> WITH ACCESS TO THEIR HOURLY USAGE DATA?</w:t>
      </w:r>
    </w:p>
    <w:p w14:paraId="53609905" w14:textId="71B26583" w:rsidR="001412EE" w:rsidRDefault="001412EE" w:rsidP="001412EE">
      <w:pPr>
        <w:widowControl/>
        <w:spacing w:line="360" w:lineRule="auto"/>
        <w:ind w:left="720" w:hanging="720"/>
        <w:jc w:val="both"/>
        <w:rPr>
          <w:sz w:val="24"/>
          <w:szCs w:val="24"/>
        </w:rPr>
      </w:pPr>
      <w:r w:rsidRPr="00E77A32">
        <w:rPr>
          <w:sz w:val="24"/>
          <w:szCs w:val="24"/>
        </w:rPr>
        <w:t>A.</w:t>
      </w:r>
      <w:r w:rsidRPr="00E77A32">
        <w:rPr>
          <w:sz w:val="24"/>
          <w:szCs w:val="24"/>
        </w:rPr>
        <w:tab/>
        <w:t xml:space="preserve">Georgia Power supports </w:t>
      </w:r>
      <w:r w:rsidR="00CA1D4A" w:rsidRPr="00E77A32">
        <w:rPr>
          <w:sz w:val="24"/>
          <w:szCs w:val="24"/>
        </w:rPr>
        <w:t xml:space="preserve">Staff’s recommendation to further study the need for and costs of providing hourly data to customers and to file this information with the Commission within </w:t>
      </w:r>
      <w:r w:rsidR="00C21CE2">
        <w:rPr>
          <w:sz w:val="24"/>
          <w:szCs w:val="24"/>
        </w:rPr>
        <w:t>six</w:t>
      </w:r>
      <w:r w:rsidR="00C21CE2" w:rsidRPr="00E77A32">
        <w:rPr>
          <w:sz w:val="24"/>
          <w:szCs w:val="24"/>
        </w:rPr>
        <w:t xml:space="preserve"> </w:t>
      </w:r>
      <w:r w:rsidR="00CA1D4A" w:rsidRPr="00E77A32">
        <w:rPr>
          <w:sz w:val="24"/>
          <w:szCs w:val="24"/>
        </w:rPr>
        <w:t xml:space="preserve">months of the Commission order in this docket. </w:t>
      </w:r>
    </w:p>
    <w:p w14:paraId="2EA40928" w14:textId="77777777" w:rsidR="00A467B0" w:rsidRPr="00E77A32" w:rsidRDefault="00A467B0" w:rsidP="001412EE">
      <w:pPr>
        <w:widowControl/>
        <w:spacing w:line="360" w:lineRule="auto"/>
        <w:ind w:left="720" w:hanging="720"/>
        <w:jc w:val="both"/>
        <w:rPr>
          <w:sz w:val="24"/>
          <w:szCs w:val="24"/>
        </w:rPr>
      </w:pPr>
    </w:p>
    <w:p w14:paraId="126064E2" w14:textId="77777777" w:rsidR="001412EE" w:rsidRPr="00706514" w:rsidRDefault="001412EE" w:rsidP="001412EE">
      <w:pPr>
        <w:widowControl/>
        <w:tabs>
          <w:tab w:val="left" w:pos="3600"/>
        </w:tabs>
        <w:spacing w:line="360" w:lineRule="auto"/>
        <w:ind w:left="720" w:hanging="720"/>
        <w:jc w:val="both"/>
        <w:rPr>
          <w:b/>
          <w:sz w:val="24"/>
          <w:szCs w:val="24"/>
        </w:rPr>
      </w:pPr>
      <w:r w:rsidRPr="00706514">
        <w:rPr>
          <w:b/>
          <w:sz w:val="24"/>
          <w:szCs w:val="24"/>
        </w:rPr>
        <w:t>Q.</w:t>
      </w:r>
      <w:r w:rsidRPr="00706514">
        <w:rPr>
          <w:b/>
          <w:sz w:val="24"/>
          <w:szCs w:val="24"/>
        </w:rPr>
        <w:tab/>
        <w:t xml:space="preserve">DOES THIS CONCLUDE YOUR TESTIMONY?  </w:t>
      </w:r>
    </w:p>
    <w:p w14:paraId="2B9DF1CA" w14:textId="65B90E3C" w:rsidR="009C77AB" w:rsidRDefault="001412EE" w:rsidP="00520300">
      <w:pPr>
        <w:widowControl/>
        <w:spacing w:line="360" w:lineRule="auto"/>
        <w:jc w:val="both"/>
        <w:outlineLvl w:val="0"/>
        <w:rPr>
          <w:sz w:val="24"/>
          <w:szCs w:val="24"/>
        </w:rPr>
      </w:pPr>
      <w:r w:rsidRPr="00706514">
        <w:rPr>
          <w:rFonts w:eastAsia="MS Mincho"/>
          <w:bCs/>
          <w:sz w:val="24"/>
          <w:szCs w:val="24"/>
        </w:rPr>
        <w:t>A.</w:t>
      </w:r>
      <w:r w:rsidRPr="00706514">
        <w:rPr>
          <w:rFonts w:eastAsia="MS Mincho"/>
          <w:bCs/>
          <w:sz w:val="24"/>
          <w:szCs w:val="24"/>
        </w:rPr>
        <w:tab/>
        <w:t xml:space="preserve"> Yes. </w:t>
      </w:r>
    </w:p>
    <w:sectPr w:rsidR="009C77AB" w:rsidSect="001412EE">
      <w:footerReference w:type="even" r:id="rId9"/>
      <w:footerReference w:type="default" r:id="rId10"/>
      <w:headerReference w:type="first" r:id="rId11"/>
      <w:footerReference w:type="first" r:id="rId12"/>
      <w:pgSz w:w="12240" w:h="15840"/>
      <w:pgMar w:top="1440" w:right="1800" w:bottom="1440"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8CD80" w14:textId="77777777" w:rsidR="00611C00" w:rsidRDefault="00611C00">
      <w:r>
        <w:separator/>
      </w:r>
    </w:p>
  </w:endnote>
  <w:endnote w:type="continuationSeparator" w:id="0">
    <w:p w14:paraId="15D9E2A5" w14:textId="77777777" w:rsidR="00611C00" w:rsidRDefault="00611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9E007" w14:textId="77777777" w:rsidR="00611C00" w:rsidRDefault="00611C00">
    <w:pPr>
      <w:pStyle w:val="Footer"/>
      <w:framePr w:wrap="auto" w:vAnchor="text" w:hAnchor="margin" w:xAlign="center" w:y="1"/>
      <w:widowControl/>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7F543718" w14:textId="77777777" w:rsidR="00611C00" w:rsidRDefault="00611C00">
    <w:pPr>
      <w:pStyle w:val="Foote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7C847" w14:textId="77777777" w:rsidR="00611C00" w:rsidRDefault="00611C00">
    <w:pPr>
      <w:pStyle w:val="Footer"/>
      <w:framePr w:wrap="auto" w:vAnchor="text" w:hAnchor="margin" w:xAlign="center" w:y="1"/>
      <w:widowControl/>
      <w:rPr>
        <w:rStyle w:val="PageNumber"/>
      </w:rPr>
    </w:pPr>
  </w:p>
  <w:p w14:paraId="23CB01E5" w14:textId="77777777" w:rsidR="00611C00" w:rsidRDefault="00611C00">
    <w:pPr>
      <w:pStyle w:val="Footer"/>
      <w:jc w:val="center"/>
      <w:rPr>
        <w:sz w:val="18"/>
      </w:rPr>
    </w:pPr>
    <w:r>
      <w:t>______________________________________________________________________________</w:t>
    </w:r>
  </w:p>
  <w:p w14:paraId="3E146736" w14:textId="77777777" w:rsidR="00611C00" w:rsidRDefault="00611C00">
    <w:pPr>
      <w:pStyle w:val="Footer"/>
      <w:jc w:val="center"/>
      <w:rPr>
        <w:sz w:val="18"/>
      </w:rPr>
    </w:pPr>
    <w:r>
      <w:rPr>
        <w:sz w:val="18"/>
      </w:rPr>
      <w:t xml:space="preserve"> Rebuttal Testimony Larry T. Legg and Lawrence J. Vogt</w:t>
    </w:r>
  </w:p>
  <w:p w14:paraId="2FC86539" w14:textId="77777777" w:rsidR="00611C00" w:rsidRDefault="00611C00">
    <w:pPr>
      <w:pStyle w:val="Footer"/>
      <w:jc w:val="center"/>
      <w:rPr>
        <w:sz w:val="18"/>
      </w:rPr>
    </w:pPr>
    <w:r>
      <w:rPr>
        <w:sz w:val="18"/>
      </w:rPr>
      <w:t>on behalf of Georgia Power Company</w:t>
    </w:r>
  </w:p>
  <w:p w14:paraId="35E0170C" w14:textId="77777777" w:rsidR="00611C00" w:rsidRDefault="00611C00">
    <w:pPr>
      <w:pStyle w:val="Footer"/>
      <w:jc w:val="center"/>
      <w:rPr>
        <w:sz w:val="18"/>
      </w:rPr>
    </w:pPr>
    <w:r>
      <w:rPr>
        <w:sz w:val="18"/>
      </w:rPr>
      <w:t>Docket No. 42516</w:t>
    </w:r>
  </w:p>
  <w:p w14:paraId="70E0EAF1" w14:textId="4D7A67AA" w:rsidR="00611C00" w:rsidRDefault="00611C00">
    <w:pPr>
      <w:pStyle w:val="Footer"/>
      <w:widowControl/>
      <w:jc w:val="center"/>
      <w:rPr>
        <w:sz w:val="18"/>
      </w:rPr>
    </w:pPr>
    <w:r>
      <w:rPr>
        <w:sz w:val="18"/>
      </w:rPr>
      <w:t xml:space="preserve">Page </w:t>
    </w:r>
    <w:r>
      <w:rPr>
        <w:sz w:val="18"/>
      </w:rPr>
      <w:fldChar w:fldCharType="begin"/>
    </w:r>
    <w:r>
      <w:rPr>
        <w:sz w:val="18"/>
      </w:rPr>
      <w:instrText xml:space="preserve"> PAGE </w:instrText>
    </w:r>
    <w:r>
      <w:rPr>
        <w:sz w:val="18"/>
      </w:rPr>
      <w:fldChar w:fldCharType="separate"/>
    </w:r>
    <w:r>
      <w:rPr>
        <w:noProof/>
        <w:sz w:val="18"/>
      </w:rPr>
      <w:t>19</w:t>
    </w:r>
    <w:r>
      <w:rPr>
        <w:sz w:val="18"/>
      </w:rPr>
      <w:fldChar w:fldCharType="end"/>
    </w:r>
    <w:r>
      <w:rPr>
        <w:sz w:val="18"/>
      </w:rPr>
      <w:t xml:space="preserve"> of </w:t>
    </w:r>
    <w:r>
      <w:rPr>
        <w:sz w:val="18"/>
      </w:rPr>
      <w:fldChar w:fldCharType="begin"/>
    </w:r>
    <w:r>
      <w:rPr>
        <w:sz w:val="18"/>
      </w:rPr>
      <w:instrText xml:space="preserve"> NUMPAGES </w:instrText>
    </w:r>
    <w:r>
      <w:rPr>
        <w:sz w:val="18"/>
      </w:rPr>
      <w:fldChar w:fldCharType="separate"/>
    </w:r>
    <w:r>
      <w:rPr>
        <w:noProof/>
        <w:sz w:val="18"/>
      </w:rPr>
      <w:t>21</w:t>
    </w:r>
    <w:r>
      <w:rPr>
        <w:sz w:val="18"/>
      </w:rPr>
      <w:fldChar w:fldCharType="end"/>
    </w:r>
  </w:p>
  <w:p w14:paraId="6BE7D3CD" w14:textId="66A7EA03" w:rsidR="00611C00" w:rsidRDefault="00611C00" w:rsidP="00171EB2">
    <w:pPr>
      <w:pStyle w:val="Footer"/>
      <w:widowControl/>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13B82" w14:textId="77777777" w:rsidR="00611C00" w:rsidRDefault="00611C00">
    <w:pPr>
      <w:pStyle w:val="Footer"/>
      <w:jc w:val="center"/>
      <w:rPr>
        <w:sz w:val="18"/>
      </w:rPr>
    </w:pPr>
    <w:r>
      <w:rPr>
        <w:sz w:val="18"/>
      </w:rPr>
      <w:t>______________________________________________________________________________</w:t>
    </w:r>
  </w:p>
  <w:p w14:paraId="5124A019" w14:textId="77777777" w:rsidR="00611C00" w:rsidRDefault="00611C00">
    <w:pPr>
      <w:pStyle w:val="Footer"/>
      <w:jc w:val="center"/>
      <w:rPr>
        <w:sz w:val="18"/>
      </w:rPr>
    </w:pPr>
    <w:r>
      <w:rPr>
        <w:sz w:val="18"/>
      </w:rPr>
      <w:t xml:space="preserve"> Direct Testimony of Ron Hinson</w:t>
    </w:r>
  </w:p>
  <w:p w14:paraId="051ECFEE" w14:textId="77777777" w:rsidR="00611C00" w:rsidRDefault="00611C00">
    <w:pPr>
      <w:pStyle w:val="Footer"/>
      <w:jc w:val="center"/>
      <w:rPr>
        <w:sz w:val="18"/>
      </w:rPr>
    </w:pPr>
    <w:r>
      <w:rPr>
        <w:sz w:val="18"/>
      </w:rPr>
      <w:t>on behalf of Georgia Power Company</w:t>
    </w:r>
  </w:p>
  <w:p w14:paraId="0A1B7FB5" w14:textId="77777777" w:rsidR="00611C00" w:rsidRDefault="00611C00">
    <w:pPr>
      <w:pStyle w:val="Footer"/>
      <w:jc w:val="center"/>
      <w:rPr>
        <w:sz w:val="18"/>
      </w:rPr>
    </w:pPr>
    <w:r>
      <w:rPr>
        <w:sz w:val="18"/>
      </w:rPr>
      <w:t>Docket No. 14000-U</w:t>
    </w:r>
  </w:p>
  <w:p w14:paraId="5BFEF69A" w14:textId="77777777" w:rsidR="00611C00" w:rsidRDefault="00611C00">
    <w:pPr>
      <w:pStyle w:val="Footer"/>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6</w:t>
    </w:r>
    <w:r>
      <w:rPr>
        <w:rStyle w:val="PageNumber"/>
        <w:sz w:val="18"/>
      </w:rPr>
      <w:fldChar w:fldCharType="end"/>
    </w:r>
    <w:r>
      <w:rPr>
        <w:rStyle w:val="PageNumber"/>
        <w:sz w:val="18"/>
      </w:rPr>
      <w:t xml:space="preserve"> of 22</w:t>
    </w:r>
  </w:p>
  <w:p w14:paraId="5F476675" w14:textId="77777777" w:rsidR="00611C00" w:rsidRDefault="00611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8B986" w14:textId="77777777" w:rsidR="00611C00" w:rsidRDefault="00611C00">
      <w:r>
        <w:separator/>
      </w:r>
    </w:p>
  </w:footnote>
  <w:footnote w:type="continuationSeparator" w:id="0">
    <w:p w14:paraId="5D51F5A4" w14:textId="77777777" w:rsidR="00611C00" w:rsidRDefault="00611C00">
      <w:r>
        <w:continuationSeparator/>
      </w:r>
    </w:p>
  </w:footnote>
  <w:footnote w:id="1">
    <w:p w14:paraId="212D1119" w14:textId="77777777" w:rsidR="00611C00" w:rsidRDefault="00611C00" w:rsidP="00171EB2">
      <w:pPr>
        <w:pStyle w:val="FootnoteText"/>
      </w:pPr>
      <w:r>
        <w:rPr>
          <w:rStyle w:val="FootnoteReference"/>
        </w:rPr>
        <w:footnoteRef/>
      </w:r>
      <w:r>
        <w:t xml:space="preserve"> </w:t>
      </w:r>
      <w:r w:rsidRPr="000D02E6">
        <w:t>NARUC Electric Utility Cost Allocation Manual</w:t>
      </w:r>
      <w:r>
        <w:t>, January 1992, p. 90.</w:t>
      </w:r>
    </w:p>
  </w:footnote>
  <w:footnote w:id="2">
    <w:p w14:paraId="33FC8444" w14:textId="44403F9B" w:rsidR="00611C00" w:rsidRPr="000D02E6" w:rsidRDefault="00611C00">
      <w:pPr>
        <w:pStyle w:val="FootnoteText"/>
      </w:pPr>
      <w:r>
        <w:rPr>
          <w:rStyle w:val="FootnoteReference"/>
        </w:rPr>
        <w:footnoteRef/>
      </w:r>
      <w:r>
        <w:t xml:space="preserve"> </w:t>
      </w:r>
      <w:r>
        <w:rPr>
          <w:i/>
        </w:rPr>
        <w:t xml:space="preserve">Frederick </w:t>
      </w:r>
      <w:r w:rsidRPr="000D02E6">
        <w:rPr>
          <w:i/>
        </w:rPr>
        <w:t>Weston</w:t>
      </w:r>
      <w:r>
        <w:t xml:space="preserve">, </w:t>
      </w:r>
      <w:r w:rsidRPr="000D02E6">
        <w:t>Charging for Distribution</w:t>
      </w:r>
      <w:r>
        <w:t xml:space="preserve"> Utility Services: Issues in Rate Design, The Regulatory Assistance Project (December 2000) at 2.</w:t>
      </w:r>
    </w:p>
  </w:footnote>
  <w:footnote w:id="3">
    <w:p w14:paraId="58F5A986" w14:textId="77777777" w:rsidR="00611C00" w:rsidRPr="00C94243" w:rsidRDefault="00611C00" w:rsidP="00171EB2">
      <w:pPr>
        <w:pStyle w:val="FootnoteText"/>
      </w:pPr>
      <w:r>
        <w:rPr>
          <w:rStyle w:val="FootnoteReference"/>
        </w:rPr>
        <w:footnoteRef/>
      </w:r>
      <w:r>
        <w:t xml:space="preserve"> Bonbright, Danielson &amp; Kamerschen, </w:t>
      </w:r>
      <w:r>
        <w:rPr>
          <w:i/>
        </w:rPr>
        <w:t xml:space="preserve">Principles of Public Utility Rates, </w:t>
      </w:r>
      <w:r>
        <w:t>2</w:t>
      </w:r>
      <w:r w:rsidRPr="00C94243">
        <w:rPr>
          <w:vertAlign w:val="superscript"/>
        </w:rPr>
        <w:t>nd</w:t>
      </w:r>
      <w:r>
        <w:t xml:space="preserve"> Edition, 1998, pp. 491-492 (emphasis added). </w:t>
      </w:r>
    </w:p>
  </w:footnote>
  <w:footnote w:id="4">
    <w:p w14:paraId="62C0ACE2" w14:textId="44A9A5DB" w:rsidR="00611C00" w:rsidRPr="00F67375" w:rsidRDefault="00611C00">
      <w:pPr>
        <w:pStyle w:val="FootnoteText"/>
      </w:pPr>
      <w:r w:rsidRPr="006127A4">
        <w:rPr>
          <w:rStyle w:val="FootnoteReference"/>
        </w:rPr>
        <w:footnoteRef/>
      </w:r>
      <w:r w:rsidRPr="006127A4">
        <w:t xml:space="preserve"> </w:t>
      </w:r>
      <w:r w:rsidRPr="006127A4">
        <w:rPr>
          <w:i/>
        </w:rPr>
        <w:t>Id.</w:t>
      </w:r>
      <w:r w:rsidRPr="006127A4">
        <w:t xml:space="preserve"> at 492.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D4B78" w14:textId="77777777" w:rsidR="00611C00" w:rsidRDefault="00611C0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3599"/>
    <w:multiLevelType w:val="hybridMultilevel"/>
    <w:tmpl w:val="EC46E1FC"/>
    <w:lvl w:ilvl="0" w:tplc="86EA6266">
      <w:start w:val="1"/>
      <w:numFmt w:val="bullet"/>
      <w:lvlText w:val=""/>
      <w:lvlJc w:val="left"/>
      <w:pPr>
        <w:tabs>
          <w:tab w:val="num" w:pos="1080"/>
        </w:tabs>
        <w:ind w:left="1080" w:hanging="360"/>
      </w:pPr>
      <w:rPr>
        <w:rFonts w:ascii="Symbol" w:hAnsi="Symbol" w:hint="default"/>
        <w:color w:val="auto"/>
      </w:rPr>
    </w:lvl>
    <w:lvl w:ilvl="1" w:tplc="50621FAA">
      <w:start w:val="1"/>
      <w:numFmt w:val="bullet"/>
      <w:lvlText w:val="o"/>
      <w:lvlJc w:val="left"/>
      <w:pPr>
        <w:tabs>
          <w:tab w:val="num" w:pos="1440"/>
        </w:tabs>
        <w:ind w:left="1440" w:hanging="360"/>
      </w:pPr>
      <w:rPr>
        <w:rFonts w:ascii="Courier New" w:hAnsi="Courier New" w:hint="default"/>
      </w:rPr>
    </w:lvl>
    <w:lvl w:ilvl="2" w:tplc="34AE61F6" w:tentative="1">
      <w:start w:val="1"/>
      <w:numFmt w:val="bullet"/>
      <w:lvlText w:val=""/>
      <w:lvlJc w:val="left"/>
      <w:pPr>
        <w:tabs>
          <w:tab w:val="num" w:pos="2160"/>
        </w:tabs>
        <w:ind w:left="2160" w:hanging="360"/>
      </w:pPr>
      <w:rPr>
        <w:rFonts w:ascii="Wingdings" w:hAnsi="Wingdings" w:hint="default"/>
      </w:rPr>
    </w:lvl>
    <w:lvl w:ilvl="3" w:tplc="96E2EC10" w:tentative="1">
      <w:start w:val="1"/>
      <w:numFmt w:val="bullet"/>
      <w:lvlText w:val=""/>
      <w:lvlJc w:val="left"/>
      <w:pPr>
        <w:tabs>
          <w:tab w:val="num" w:pos="2880"/>
        </w:tabs>
        <w:ind w:left="2880" w:hanging="360"/>
      </w:pPr>
      <w:rPr>
        <w:rFonts w:ascii="Symbol" w:hAnsi="Symbol" w:hint="default"/>
      </w:rPr>
    </w:lvl>
    <w:lvl w:ilvl="4" w:tplc="A07401BA" w:tentative="1">
      <w:start w:val="1"/>
      <w:numFmt w:val="bullet"/>
      <w:lvlText w:val="o"/>
      <w:lvlJc w:val="left"/>
      <w:pPr>
        <w:tabs>
          <w:tab w:val="num" w:pos="3600"/>
        </w:tabs>
        <w:ind w:left="3600" w:hanging="360"/>
      </w:pPr>
      <w:rPr>
        <w:rFonts w:ascii="Courier New" w:hAnsi="Courier New" w:hint="default"/>
      </w:rPr>
    </w:lvl>
    <w:lvl w:ilvl="5" w:tplc="A034643E" w:tentative="1">
      <w:start w:val="1"/>
      <w:numFmt w:val="bullet"/>
      <w:lvlText w:val=""/>
      <w:lvlJc w:val="left"/>
      <w:pPr>
        <w:tabs>
          <w:tab w:val="num" w:pos="4320"/>
        </w:tabs>
        <w:ind w:left="4320" w:hanging="360"/>
      </w:pPr>
      <w:rPr>
        <w:rFonts w:ascii="Wingdings" w:hAnsi="Wingdings" w:hint="default"/>
      </w:rPr>
    </w:lvl>
    <w:lvl w:ilvl="6" w:tplc="0484BBE6" w:tentative="1">
      <w:start w:val="1"/>
      <w:numFmt w:val="bullet"/>
      <w:lvlText w:val=""/>
      <w:lvlJc w:val="left"/>
      <w:pPr>
        <w:tabs>
          <w:tab w:val="num" w:pos="5040"/>
        </w:tabs>
        <w:ind w:left="5040" w:hanging="360"/>
      </w:pPr>
      <w:rPr>
        <w:rFonts w:ascii="Symbol" w:hAnsi="Symbol" w:hint="default"/>
      </w:rPr>
    </w:lvl>
    <w:lvl w:ilvl="7" w:tplc="DDE4EFF0" w:tentative="1">
      <w:start w:val="1"/>
      <w:numFmt w:val="bullet"/>
      <w:lvlText w:val="o"/>
      <w:lvlJc w:val="left"/>
      <w:pPr>
        <w:tabs>
          <w:tab w:val="num" w:pos="5760"/>
        </w:tabs>
        <w:ind w:left="5760" w:hanging="360"/>
      </w:pPr>
      <w:rPr>
        <w:rFonts w:ascii="Courier New" w:hAnsi="Courier New" w:hint="default"/>
      </w:rPr>
    </w:lvl>
    <w:lvl w:ilvl="8" w:tplc="5224822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94FE9"/>
    <w:multiLevelType w:val="hybridMultilevel"/>
    <w:tmpl w:val="1C2C4E70"/>
    <w:lvl w:ilvl="0" w:tplc="469C64F8">
      <w:start w:val="1"/>
      <w:numFmt w:val="bullet"/>
      <w:lvlText w:val=""/>
      <w:lvlJc w:val="left"/>
      <w:pPr>
        <w:ind w:left="1080" w:hanging="360"/>
      </w:pPr>
      <w:rPr>
        <w:rFonts w:ascii="Symbol" w:hAnsi="Symbol" w:hint="default"/>
      </w:rPr>
    </w:lvl>
    <w:lvl w:ilvl="1" w:tplc="0E3C72B6" w:tentative="1">
      <w:start w:val="1"/>
      <w:numFmt w:val="bullet"/>
      <w:lvlText w:val="o"/>
      <w:lvlJc w:val="left"/>
      <w:pPr>
        <w:ind w:left="1800" w:hanging="360"/>
      </w:pPr>
      <w:rPr>
        <w:rFonts w:ascii="Courier New" w:hAnsi="Courier New" w:cs="Courier New" w:hint="default"/>
      </w:rPr>
    </w:lvl>
    <w:lvl w:ilvl="2" w:tplc="2754181E" w:tentative="1">
      <w:start w:val="1"/>
      <w:numFmt w:val="bullet"/>
      <w:lvlText w:val=""/>
      <w:lvlJc w:val="left"/>
      <w:pPr>
        <w:ind w:left="2520" w:hanging="360"/>
      </w:pPr>
      <w:rPr>
        <w:rFonts w:ascii="Wingdings" w:hAnsi="Wingdings" w:hint="default"/>
      </w:rPr>
    </w:lvl>
    <w:lvl w:ilvl="3" w:tplc="8E8061AE" w:tentative="1">
      <w:start w:val="1"/>
      <w:numFmt w:val="bullet"/>
      <w:lvlText w:val=""/>
      <w:lvlJc w:val="left"/>
      <w:pPr>
        <w:ind w:left="3240" w:hanging="360"/>
      </w:pPr>
      <w:rPr>
        <w:rFonts w:ascii="Symbol" w:hAnsi="Symbol" w:hint="default"/>
      </w:rPr>
    </w:lvl>
    <w:lvl w:ilvl="4" w:tplc="D130C93C" w:tentative="1">
      <w:start w:val="1"/>
      <w:numFmt w:val="bullet"/>
      <w:lvlText w:val="o"/>
      <w:lvlJc w:val="left"/>
      <w:pPr>
        <w:ind w:left="3960" w:hanging="360"/>
      </w:pPr>
      <w:rPr>
        <w:rFonts w:ascii="Courier New" w:hAnsi="Courier New" w:cs="Courier New" w:hint="default"/>
      </w:rPr>
    </w:lvl>
    <w:lvl w:ilvl="5" w:tplc="AFB2B8C4" w:tentative="1">
      <w:start w:val="1"/>
      <w:numFmt w:val="bullet"/>
      <w:lvlText w:val=""/>
      <w:lvlJc w:val="left"/>
      <w:pPr>
        <w:ind w:left="4680" w:hanging="360"/>
      </w:pPr>
      <w:rPr>
        <w:rFonts w:ascii="Wingdings" w:hAnsi="Wingdings" w:hint="default"/>
      </w:rPr>
    </w:lvl>
    <w:lvl w:ilvl="6" w:tplc="B01C996A" w:tentative="1">
      <w:start w:val="1"/>
      <w:numFmt w:val="bullet"/>
      <w:lvlText w:val=""/>
      <w:lvlJc w:val="left"/>
      <w:pPr>
        <w:ind w:left="5400" w:hanging="360"/>
      </w:pPr>
      <w:rPr>
        <w:rFonts w:ascii="Symbol" w:hAnsi="Symbol" w:hint="default"/>
      </w:rPr>
    </w:lvl>
    <w:lvl w:ilvl="7" w:tplc="06B6EE10" w:tentative="1">
      <w:start w:val="1"/>
      <w:numFmt w:val="bullet"/>
      <w:lvlText w:val="o"/>
      <w:lvlJc w:val="left"/>
      <w:pPr>
        <w:ind w:left="6120" w:hanging="360"/>
      </w:pPr>
      <w:rPr>
        <w:rFonts w:ascii="Courier New" w:hAnsi="Courier New" w:cs="Courier New" w:hint="default"/>
      </w:rPr>
    </w:lvl>
    <w:lvl w:ilvl="8" w:tplc="A09AC8C2" w:tentative="1">
      <w:start w:val="1"/>
      <w:numFmt w:val="bullet"/>
      <w:lvlText w:val=""/>
      <w:lvlJc w:val="left"/>
      <w:pPr>
        <w:ind w:left="6840" w:hanging="360"/>
      </w:pPr>
      <w:rPr>
        <w:rFonts w:ascii="Wingdings" w:hAnsi="Wingdings" w:hint="default"/>
      </w:rPr>
    </w:lvl>
  </w:abstractNum>
  <w:abstractNum w:abstractNumId="2" w15:restartNumberingAfterBreak="0">
    <w:nsid w:val="0DC90CBA"/>
    <w:multiLevelType w:val="singleLevel"/>
    <w:tmpl w:val="E4960550"/>
    <w:lvl w:ilvl="0">
      <w:start w:val="17"/>
      <w:numFmt w:val="upperLetter"/>
      <w:pStyle w:val="Heading4"/>
      <w:lvlText w:val="%1."/>
      <w:lvlJc w:val="left"/>
      <w:pPr>
        <w:tabs>
          <w:tab w:val="num" w:pos="360"/>
        </w:tabs>
        <w:ind w:left="360" w:hanging="360"/>
      </w:pPr>
      <w:rPr>
        <w:rFonts w:cs="Times New Roman" w:hint="default"/>
      </w:rPr>
    </w:lvl>
  </w:abstractNum>
  <w:abstractNum w:abstractNumId="3" w15:restartNumberingAfterBreak="0">
    <w:nsid w:val="1E803B1E"/>
    <w:multiLevelType w:val="hybridMultilevel"/>
    <w:tmpl w:val="FA8EE378"/>
    <w:lvl w:ilvl="0" w:tplc="E1006986">
      <w:start w:val="1"/>
      <w:numFmt w:val="upperLetter"/>
      <w:lvlText w:val="%1."/>
      <w:lvlJc w:val="left"/>
      <w:pPr>
        <w:ind w:left="720" w:hanging="360"/>
      </w:pPr>
      <w:rPr>
        <w:rFonts w:hint="default"/>
      </w:rPr>
    </w:lvl>
    <w:lvl w:ilvl="1" w:tplc="D6088AD4" w:tentative="1">
      <w:start w:val="1"/>
      <w:numFmt w:val="lowerLetter"/>
      <w:lvlText w:val="%2."/>
      <w:lvlJc w:val="left"/>
      <w:pPr>
        <w:ind w:left="1440" w:hanging="360"/>
      </w:pPr>
    </w:lvl>
    <w:lvl w:ilvl="2" w:tplc="6CF2FB16" w:tentative="1">
      <w:start w:val="1"/>
      <w:numFmt w:val="lowerRoman"/>
      <w:lvlText w:val="%3."/>
      <w:lvlJc w:val="right"/>
      <w:pPr>
        <w:ind w:left="2160" w:hanging="180"/>
      </w:pPr>
    </w:lvl>
    <w:lvl w:ilvl="3" w:tplc="3E2A30C4" w:tentative="1">
      <w:start w:val="1"/>
      <w:numFmt w:val="decimal"/>
      <w:lvlText w:val="%4."/>
      <w:lvlJc w:val="left"/>
      <w:pPr>
        <w:ind w:left="2880" w:hanging="360"/>
      </w:pPr>
    </w:lvl>
    <w:lvl w:ilvl="4" w:tplc="5C50F5E0" w:tentative="1">
      <w:start w:val="1"/>
      <w:numFmt w:val="lowerLetter"/>
      <w:lvlText w:val="%5."/>
      <w:lvlJc w:val="left"/>
      <w:pPr>
        <w:ind w:left="3600" w:hanging="360"/>
      </w:pPr>
    </w:lvl>
    <w:lvl w:ilvl="5" w:tplc="1EF63A50" w:tentative="1">
      <w:start w:val="1"/>
      <w:numFmt w:val="lowerRoman"/>
      <w:lvlText w:val="%6."/>
      <w:lvlJc w:val="right"/>
      <w:pPr>
        <w:ind w:left="4320" w:hanging="180"/>
      </w:pPr>
    </w:lvl>
    <w:lvl w:ilvl="6" w:tplc="92C4CDCA" w:tentative="1">
      <w:start w:val="1"/>
      <w:numFmt w:val="decimal"/>
      <w:lvlText w:val="%7."/>
      <w:lvlJc w:val="left"/>
      <w:pPr>
        <w:ind w:left="5040" w:hanging="360"/>
      </w:pPr>
    </w:lvl>
    <w:lvl w:ilvl="7" w:tplc="5E66E324" w:tentative="1">
      <w:start w:val="1"/>
      <w:numFmt w:val="lowerLetter"/>
      <w:lvlText w:val="%8."/>
      <w:lvlJc w:val="left"/>
      <w:pPr>
        <w:ind w:left="5760" w:hanging="360"/>
      </w:pPr>
    </w:lvl>
    <w:lvl w:ilvl="8" w:tplc="9A567EA6" w:tentative="1">
      <w:start w:val="1"/>
      <w:numFmt w:val="lowerRoman"/>
      <w:lvlText w:val="%9."/>
      <w:lvlJc w:val="right"/>
      <w:pPr>
        <w:ind w:left="6480" w:hanging="180"/>
      </w:pPr>
    </w:lvl>
  </w:abstractNum>
  <w:abstractNum w:abstractNumId="4" w15:restartNumberingAfterBreak="0">
    <w:nsid w:val="21684720"/>
    <w:multiLevelType w:val="singleLevel"/>
    <w:tmpl w:val="22A8F5A4"/>
    <w:lvl w:ilvl="0">
      <w:start w:val="17"/>
      <w:numFmt w:val="upperLetter"/>
      <w:pStyle w:val="Heading5"/>
      <w:lvlText w:val="%1."/>
      <w:lvlJc w:val="left"/>
      <w:pPr>
        <w:tabs>
          <w:tab w:val="num" w:pos="360"/>
        </w:tabs>
        <w:ind w:left="360" w:hanging="360"/>
      </w:pPr>
      <w:rPr>
        <w:rFonts w:cs="Times New Roman" w:hint="default"/>
      </w:rPr>
    </w:lvl>
  </w:abstractNum>
  <w:abstractNum w:abstractNumId="5" w15:restartNumberingAfterBreak="0">
    <w:nsid w:val="2A3C0381"/>
    <w:multiLevelType w:val="hybridMultilevel"/>
    <w:tmpl w:val="55446BF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15:restartNumberingAfterBreak="0">
    <w:nsid w:val="2BD303C0"/>
    <w:multiLevelType w:val="hybridMultilevel"/>
    <w:tmpl w:val="0D7CA85E"/>
    <w:lvl w:ilvl="0" w:tplc="143456EC">
      <w:start w:val="1"/>
      <w:numFmt w:val="bullet"/>
      <w:lvlText w:val=""/>
      <w:lvlJc w:val="left"/>
      <w:pPr>
        <w:tabs>
          <w:tab w:val="num" w:pos="2160"/>
        </w:tabs>
        <w:ind w:left="2160" w:hanging="360"/>
      </w:pPr>
      <w:rPr>
        <w:rFonts w:ascii="Symbol" w:hAnsi="Symbol" w:hint="default"/>
      </w:rPr>
    </w:lvl>
    <w:lvl w:ilvl="1" w:tplc="FBCC44AA" w:tentative="1">
      <w:start w:val="1"/>
      <w:numFmt w:val="bullet"/>
      <w:lvlText w:val="o"/>
      <w:lvlJc w:val="left"/>
      <w:pPr>
        <w:tabs>
          <w:tab w:val="num" w:pos="2880"/>
        </w:tabs>
        <w:ind w:left="2880" w:hanging="360"/>
      </w:pPr>
      <w:rPr>
        <w:rFonts w:ascii="Courier New" w:hAnsi="Courier New" w:hint="default"/>
      </w:rPr>
    </w:lvl>
    <w:lvl w:ilvl="2" w:tplc="979CCC66" w:tentative="1">
      <w:start w:val="1"/>
      <w:numFmt w:val="bullet"/>
      <w:lvlText w:val=""/>
      <w:lvlJc w:val="left"/>
      <w:pPr>
        <w:tabs>
          <w:tab w:val="num" w:pos="3600"/>
        </w:tabs>
        <w:ind w:left="3600" w:hanging="360"/>
      </w:pPr>
      <w:rPr>
        <w:rFonts w:ascii="Wingdings" w:hAnsi="Wingdings" w:hint="default"/>
      </w:rPr>
    </w:lvl>
    <w:lvl w:ilvl="3" w:tplc="0148685E" w:tentative="1">
      <w:start w:val="1"/>
      <w:numFmt w:val="bullet"/>
      <w:lvlText w:val=""/>
      <w:lvlJc w:val="left"/>
      <w:pPr>
        <w:tabs>
          <w:tab w:val="num" w:pos="4320"/>
        </w:tabs>
        <w:ind w:left="4320" w:hanging="360"/>
      </w:pPr>
      <w:rPr>
        <w:rFonts w:ascii="Symbol" w:hAnsi="Symbol" w:hint="default"/>
      </w:rPr>
    </w:lvl>
    <w:lvl w:ilvl="4" w:tplc="46468134" w:tentative="1">
      <w:start w:val="1"/>
      <w:numFmt w:val="bullet"/>
      <w:lvlText w:val="o"/>
      <w:lvlJc w:val="left"/>
      <w:pPr>
        <w:tabs>
          <w:tab w:val="num" w:pos="5040"/>
        </w:tabs>
        <w:ind w:left="5040" w:hanging="360"/>
      </w:pPr>
      <w:rPr>
        <w:rFonts w:ascii="Courier New" w:hAnsi="Courier New" w:hint="default"/>
      </w:rPr>
    </w:lvl>
    <w:lvl w:ilvl="5" w:tplc="3AA09C94" w:tentative="1">
      <w:start w:val="1"/>
      <w:numFmt w:val="bullet"/>
      <w:lvlText w:val=""/>
      <w:lvlJc w:val="left"/>
      <w:pPr>
        <w:tabs>
          <w:tab w:val="num" w:pos="5760"/>
        </w:tabs>
        <w:ind w:left="5760" w:hanging="360"/>
      </w:pPr>
      <w:rPr>
        <w:rFonts w:ascii="Wingdings" w:hAnsi="Wingdings" w:hint="default"/>
      </w:rPr>
    </w:lvl>
    <w:lvl w:ilvl="6" w:tplc="84342D60" w:tentative="1">
      <w:start w:val="1"/>
      <w:numFmt w:val="bullet"/>
      <w:lvlText w:val=""/>
      <w:lvlJc w:val="left"/>
      <w:pPr>
        <w:tabs>
          <w:tab w:val="num" w:pos="6480"/>
        </w:tabs>
        <w:ind w:left="6480" w:hanging="360"/>
      </w:pPr>
      <w:rPr>
        <w:rFonts w:ascii="Symbol" w:hAnsi="Symbol" w:hint="default"/>
      </w:rPr>
    </w:lvl>
    <w:lvl w:ilvl="7" w:tplc="1C08D11E" w:tentative="1">
      <w:start w:val="1"/>
      <w:numFmt w:val="bullet"/>
      <w:lvlText w:val="o"/>
      <w:lvlJc w:val="left"/>
      <w:pPr>
        <w:tabs>
          <w:tab w:val="num" w:pos="7200"/>
        </w:tabs>
        <w:ind w:left="7200" w:hanging="360"/>
      </w:pPr>
      <w:rPr>
        <w:rFonts w:ascii="Courier New" w:hAnsi="Courier New" w:hint="default"/>
      </w:rPr>
    </w:lvl>
    <w:lvl w:ilvl="8" w:tplc="ED020E54"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30FF69A8"/>
    <w:multiLevelType w:val="hybridMultilevel"/>
    <w:tmpl w:val="551C8BD4"/>
    <w:lvl w:ilvl="0" w:tplc="71007CFC">
      <w:start w:val="17"/>
      <w:numFmt w:val="upperLetter"/>
      <w:lvlText w:val="%1."/>
      <w:lvlJc w:val="left"/>
      <w:pPr>
        <w:tabs>
          <w:tab w:val="num" w:pos="720"/>
        </w:tabs>
        <w:ind w:left="720" w:hanging="360"/>
      </w:pPr>
      <w:rPr>
        <w:rFonts w:cs="Times New Roman" w:hint="default"/>
      </w:rPr>
    </w:lvl>
    <w:lvl w:ilvl="1" w:tplc="468A6F4A" w:tentative="1">
      <w:start w:val="1"/>
      <w:numFmt w:val="lowerLetter"/>
      <w:lvlText w:val="%2."/>
      <w:lvlJc w:val="left"/>
      <w:pPr>
        <w:tabs>
          <w:tab w:val="num" w:pos="1440"/>
        </w:tabs>
        <w:ind w:left="1440" w:hanging="360"/>
      </w:pPr>
      <w:rPr>
        <w:rFonts w:cs="Times New Roman"/>
      </w:rPr>
    </w:lvl>
    <w:lvl w:ilvl="2" w:tplc="F3C20C5E" w:tentative="1">
      <w:start w:val="1"/>
      <w:numFmt w:val="lowerRoman"/>
      <w:lvlText w:val="%3."/>
      <w:lvlJc w:val="right"/>
      <w:pPr>
        <w:tabs>
          <w:tab w:val="num" w:pos="2160"/>
        </w:tabs>
        <w:ind w:left="2160" w:hanging="180"/>
      </w:pPr>
      <w:rPr>
        <w:rFonts w:cs="Times New Roman"/>
      </w:rPr>
    </w:lvl>
    <w:lvl w:ilvl="3" w:tplc="F1BA0382" w:tentative="1">
      <w:start w:val="1"/>
      <w:numFmt w:val="decimal"/>
      <w:lvlText w:val="%4."/>
      <w:lvlJc w:val="left"/>
      <w:pPr>
        <w:tabs>
          <w:tab w:val="num" w:pos="2880"/>
        </w:tabs>
        <w:ind w:left="2880" w:hanging="360"/>
      </w:pPr>
      <w:rPr>
        <w:rFonts w:cs="Times New Roman"/>
      </w:rPr>
    </w:lvl>
    <w:lvl w:ilvl="4" w:tplc="111819B4" w:tentative="1">
      <w:start w:val="1"/>
      <w:numFmt w:val="lowerLetter"/>
      <w:lvlText w:val="%5."/>
      <w:lvlJc w:val="left"/>
      <w:pPr>
        <w:tabs>
          <w:tab w:val="num" w:pos="3600"/>
        </w:tabs>
        <w:ind w:left="3600" w:hanging="360"/>
      </w:pPr>
      <w:rPr>
        <w:rFonts w:cs="Times New Roman"/>
      </w:rPr>
    </w:lvl>
    <w:lvl w:ilvl="5" w:tplc="92C28348" w:tentative="1">
      <w:start w:val="1"/>
      <w:numFmt w:val="lowerRoman"/>
      <w:lvlText w:val="%6."/>
      <w:lvlJc w:val="right"/>
      <w:pPr>
        <w:tabs>
          <w:tab w:val="num" w:pos="4320"/>
        </w:tabs>
        <w:ind w:left="4320" w:hanging="180"/>
      </w:pPr>
      <w:rPr>
        <w:rFonts w:cs="Times New Roman"/>
      </w:rPr>
    </w:lvl>
    <w:lvl w:ilvl="6" w:tplc="0B3C4454" w:tentative="1">
      <w:start w:val="1"/>
      <w:numFmt w:val="decimal"/>
      <w:lvlText w:val="%7."/>
      <w:lvlJc w:val="left"/>
      <w:pPr>
        <w:tabs>
          <w:tab w:val="num" w:pos="5040"/>
        </w:tabs>
        <w:ind w:left="5040" w:hanging="360"/>
      </w:pPr>
      <w:rPr>
        <w:rFonts w:cs="Times New Roman"/>
      </w:rPr>
    </w:lvl>
    <w:lvl w:ilvl="7" w:tplc="D2B85B78" w:tentative="1">
      <w:start w:val="1"/>
      <w:numFmt w:val="lowerLetter"/>
      <w:lvlText w:val="%8."/>
      <w:lvlJc w:val="left"/>
      <w:pPr>
        <w:tabs>
          <w:tab w:val="num" w:pos="5760"/>
        </w:tabs>
        <w:ind w:left="5760" w:hanging="360"/>
      </w:pPr>
      <w:rPr>
        <w:rFonts w:cs="Times New Roman"/>
      </w:rPr>
    </w:lvl>
    <w:lvl w:ilvl="8" w:tplc="66CAD39C" w:tentative="1">
      <w:start w:val="1"/>
      <w:numFmt w:val="lowerRoman"/>
      <w:lvlText w:val="%9."/>
      <w:lvlJc w:val="right"/>
      <w:pPr>
        <w:tabs>
          <w:tab w:val="num" w:pos="6480"/>
        </w:tabs>
        <w:ind w:left="6480" w:hanging="180"/>
      </w:pPr>
      <w:rPr>
        <w:rFonts w:cs="Times New Roman"/>
      </w:rPr>
    </w:lvl>
  </w:abstractNum>
  <w:abstractNum w:abstractNumId="8" w15:restartNumberingAfterBreak="0">
    <w:nsid w:val="31CB7008"/>
    <w:multiLevelType w:val="hybridMultilevel"/>
    <w:tmpl w:val="71844D20"/>
    <w:lvl w:ilvl="0" w:tplc="6386677E">
      <w:start w:val="1"/>
      <w:numFmt w:val="decimal"/>
      <w:lvlText w:val="%1."/>
      <w:lvlJc w:val="left"/>
      <w:pPr>
        <w:tabs>
          <w:tab w:val="num" w:pos="360"/>
        </w:tabs>
        <w:ind w:left="360" w:hanging="360"/>
      </w:pPr>
      <w:rPr>
        <w:rFonts w:cs="Times New Roman" w:hint="default"/>
      </w:rPr>
    </w:lvl>
    <w:lvl w:ilvl="1" w:tplc="AC68A1F4">
      <w:start w:val="1"/>
      <w:numFmt w:val="lowerLetter"/>
      <w:lvlText w:val="%2."/>
      <w:lvlJc w:val="left"/>
      <w:pPr>
        <w:tabs>
          <w:tab w:val="num" w:pos="1080"/>
        </w:tabs>
        <w:ind w:left="1080" w:hanging="360"/>
      </w:pPr>
      <w:rPr>
        <w:rFonts w:cs="Times New Roman"/>
      </w:rPr>
    </w:lvl>
    <w:lvl w:ilvl="2" w:tplc="9F74B55C">
      <w:start w:val="1"/>
      <w:numFmt w:val="lowerRoman"/>
      <w:lvlText w:val="%3."/>
      <w:lvlJc w:val="right"/>
      <w:pPr>
        <w:tabs>
          <w:tab w:val="num" w:pos="1800"/>
        </w:tabs>
        <w:ind w:left="1800" w:hanging="180"/>
      </w:pPr>
      <w:rPr>
        <w:rFonts w:cs="Times New Roman"/>
      </w:rPr>
    </w:lvl>
    <w:lvl w:ilvl="3" w:tplc="03C6022A" w:tentative="1">
      <w:start w:val="1"/>
      <w:numFmt w:val="decimal"/>
      <w:lvlText w:val="%4."/>
      <w:lvlJc w:val="left"/>
      <w:pPr>
        <w:tabs>
          <w:tab w:val="num" w:pos="2520"/>
        </w:tabs>
        <w:ind w:left="2520" w:hanging="360"/>
      </w:pPr>
      <w:rPr>
        <w:rFonts w:cs="Times New Roman"/>
      </w:rPr>
    </w:lvl>
    <w:lvl w:ilvl="4" w:tplc="64C2F258" w:tentative="1">
      <w:start w:val="1"/>
      <w:numFmt w:val="lowerLetter"/>
      <w:lvlText w:val="%5."/>
      <w:lvlJc w:val="left"/>
      <w:pPr>
        <w:tabs>
          <w:tab w:val="num" w:pos="3240"/>
        </w:tabs>
        <w:ind w:left="3240" w:hanging="360"/>
      </w:pPr>
      <w:rPr>
        <w:rFonts w:cs="Times New Roman"/>
      </w:rPr>
    </w:lvl>
    <w:lvl w:ilvl="5" w:tplc="9ACC189C" w:tentative="1">
      <w:start w:val="1"/>
      <w:numFmt w:val="lowerRoman"/>
      <w:lvlText w:val="%6."/>
      <w:lvlJc w:val="right"/>
      <w:pPr>
        <w:tabs>
          <w:tab w:val="num" w:pos="3960"/>
        </w:tabs>
        <w:ind w:left="3960" w:hanging="180"/>
      </w:pPr>
      <w:rPr>
        <w:rFonts w:cs="Times New Roman"/>
      </w:rPr>
    </w:lvl>
    <w:lvl w:ilvl="6" w:tplc="945ACAE4" w:tentative="1">
      <w:start w:val="1"/>
      <w:numFmt w:val="decimal"/>
      <w:lvlText w:val="%7."/>
      <w:lvlJc w:val="left"/>
      <w:pPr>
        <w:tabs>
          <w:tab w:val="num" w:pos="4680"/>
        </w:tabs>
        <w:ind w:left="4680" w:hanging="360"/>
      </w:pPr>
      <w:rPr>
        <w:rFonts w:cs="Times New Roman"/>
      </w:rPr>
    </w:lvl>
    <w:lvl w:ilvl="7" w:tplc="0694B67E" w:tentative="1">
      <w:start w:val="1"/>
      <w:numFmt w:val="lowerLetter"/>
      <w:lvlText w:val="%8."/>
      <w:lvlJc w:val="left"/>
      <w:pPr>
        <w:tabs>
          <w:tab w:val="num" w:pos="5400"/>
        </w:tabs>
        <w:ind w:left="5400" w:hanging="360"/>
      </w:pPr>
      <w:rPr>
        <w:rFonts w:cs="Times New Roman"/>
      </w:rPr>
    </w:lvl>
    <w:lvl w:ilvl="8" w:tplc="84287FC4" w:tentative="1">
      <w:start w:val="1"/>
      <w:numFmt w:val="lowerRoman"/>
      <w:lvlText w:val="%9."/>
      <w:lvlJc w:val="right"/>
      <w:pPr>
        <w:tabs>
          <w:tab w:val="num" w:pos="6120"/>
        </w:tabs>
        <w:ind w:left="6120" w:hanging="180"/>
      </w:pPr>
      <w:rPr>
        <w:rFonts w:cs="Times New Roman"/>
      </w:rPr>
    </w:lvl>
  </w:abstractNum>
  <w:abstractNum w:abstractNumId="9" w15:restartNumberingAfterBreak="0">
    <w:nsid w:val="32C56928"/>
    <w:multiLevelType w:val="multilevel"/>
    <w:tmpl w:val="50C85E72"/>
    <w:lvl w:ilvl="0">
      <w:start w:val="1"/>
      <w:numFmt w:val="none"/>
      <w:pStyle w:val="Answer"/>
      <w:lvlText w:val="A%1."/>
      <w:lvlJc w:val="left"/>
      <w:pPr>
        <w:tabs>
          <w:tab w:val="num" w:pos="720"/>
        </w:tabs>
        <w:ind w:left="720" w:hanging="72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upperLetter"/>
      <w:lvlText w:val="%2."/>
      <w:lvlJc w:val="left"/>
      <w:pPr>
        <w:tabs>
          <w:tab w:val="num" w:pos="540"/>
        </w:tabs>
        <w:ind w:left="540" w:hanging="720"/>
      </w:pPr>
      <w:rPr>
        <w:rFonts w:ascii="Times New Roman" w:hAnsi="Times New Roman" w:hint="default"/>
        <w:b w:val="0"/>
        <w:i w:val="0"/>
        <w:sz w:val="24"/>
        <w:u w:val="none"/>
      </w:rPr>
    </w:lvl>
    <w:lvl w:ilvl="2">
      <w:start w:val="1"/>
      <w:numFmt w:val="bullet"/>
      <w:lvlText w:val=""/>
      <w:lvlJc w:val="left"/>
      <w:pPr>
        <w:tabs>
          <w:tab w:val="num" w:pos="1980"/>
        </w:tabs>
        <w:ind w:left="1980" w:hanging="720"/>
      </w:pPr>
      <w:rPr>
        <w:rFonts w:ascii="Symbol" w:hAnsi="Symbol" w:hint="default"/>
        <w:b w:val="0"/>
        <w:i w:val="0"/>
        <w:kern w:val="0"/>
        <w:u w:val="none"/>
      </w:rPr>
    </w:lvl>
    <w:lvl w:ilvl="3">
      <w:start w:val="1"/>
      <w:numFmt w:val="lowerLetter"/>
      <w:lvlText w:val="%4."/>
      <w:lvlJc w:val="left"/>
      <w:pPr>
        <w:tabs>
          <w:tab w:val="num" w:pos="2700"/>
        </w:tabs>
        <w:ind w:left="2700" w:hanging="720"/>
      </w:pPr>
      <w:rPr>
        <w:rFonts w:ascii="Times New Roman" w:hAnsi="Times New Roman" w:hint="default"/>
        <w:b w:val="0"/>
        <w:i w:val="0"/>
        <w:sz w:val="24"/>
        <w:u w:val="none"/>
      </w:rPr>
    </w:lvl>
    <w:lvl w:ilvl="4">
      <w:start w:val="1"/>
      <w:numFmt w:val="lowerRoman"/>
      <w:lvlText w:val="(%5)"/>
      <w:lvlJc w:val="left"/>
      <w:pPr>
        <w:tabs>
          <w:tab w:val="num" w:pos="4500"/>
        </w:tabs>
        <w:ind w:left="-180" w:firstLine="3600"/>
      </w:pPr>
      <w:rPr>
        <w:rFonts w:hint="default"/>
      </w:rPr>
    </w:lvl>
    <w:lvl w:ilvl="5">
      <w:start w:val="1"/>
      <w:numFmt w:val="decimal"/>
      <w:lvlText w:val="(%6)"/>
      <w:lvlJc w:val="left"/>
      <w:pPr>
        <w:tabs>
          <w:tab w:val="num" w:pos="4860"/>
        </w:tabs>
        <w:ind w:left="-180" w:firstLine="4320"/>
      </w:pPr>
      <w:rPr>
        <w:rFonts w:hint="default"/>
        <w:u w:val="none"/>
      </w:rPr>
    </w:lvl>
    <w:lvl w:ilvl="6">
      <w:start w:val="1"/>
      <w:numFmt w:val="lowerLetter"/>
      <w:lvlText w:val="(%7)"/>
      <w:lvlJc w:val="left"/>
      <w:pPr>
        <w:tabs>
          <w:tab w:val="num" w:pos="-180"/>
        </w:tabs>
        <w:ind w:left="-180" w:firstLine="5040"/>
      </w:pPr>
      <w:rPr>
        <w:rFonts w:hint="default"/>
      </w:rPr>
    </w:lvl>
    <w:lvl w:ilvl="7">
      <w:start w:val="1"/>
      <w:numFmt w:val="lowerRoman"/>
      <w:lvlText w:val="%8)"/>
      <w:lvlJc w:val="left"/>
      <w:pPr>
        <w:tabs>
          <w:tab w:val="num" w:pos="-180"/>
        </w:tabs>
        <w:ind w:left="-180" w:firstLine="5760"/>
      </w:pPr>
      <w:rPr>
        <w:rFonts w:hint="default"/>
      </w:rPr>
    </w:lvl>
    <w:lvl w:ilvl="8">
      <w:start w:val="1"/>
      <w:numFmt w:val="decimal"/>
      <w:lvlText w:val="%9)"/>
      <w:lvlJc w:val="left"/>
      <w:pPr>
        <w:tabs>
          <w:tab w:val="num" w:pos="-180"/>
        </w:tabs>
        <w:ind w:left="-180" w:firstLine="6480"/>
      </w:pPr>
      <w:rPr>
        <w:rFonts w:hint="default"/>
      </w:rPr>
    </w:lvl>
  </w:abstractNum>
  <w:abstractNum w:abstractNumId="10" w15:restartNumberingAfterBreak="0">
    <w:nsid w:val="348B0923"/>
    <w:multiLevelType w:val="hybridMultilevel"/>
    <w:tmpl w:val="8382B962"/>
    <w:lvl w:ilvl="0" w:tplc="C4D8096E">
      <w:start w:val="3"/>
      <w:numFmt w:val="bullet"/>
      <w:lvlText w:val="-"/>
      <w:lvlJc w:val="left"/>
      <w:pPr>
        <w:ind w:left="720" w:hanging="360"/>
      </w:pPr>
      <w:rPr>
        <w:rFonts w:ascii="Times New Roman" w:eastAsia="Times New Roman" w:hAnsi="Times New Roman" w:cs="Times New Roman" w:hint="default"/>
      </w:rPr>
    </w:lvl>
    <w:lvl w:ilvl="1" w:tplc="29E4765C">
      <w:start w:val="1"/>
      <w:numFmt w:val="bullet"/>
      <w:lvlText w:val="o"/>
      <w:lvlJc w:val="left"/>
      <w:pPr>
        <w:ind w:left="1440" w:hanging="360"/>
      </w:pPr>
      <w:rPr>
        <w:rFonts w:ascii="Courier New" w:hAnsi="Courier New" w:cs="Courier New" w:hint="default"/>
      </w:rPr>
    </w:lvl>
    <w:lvl w:ilvl="2" w:tplc="131089B2" w:tentative="1">
      <w:start w:val="1"/>
      <w:numFmt w:val="bullet"/>
      <w:lvlText w:val=""/>
      <w:lvlJc w:val="left"/>
      <w:pPr>
        <w:ind w:left="2160" w:hanging="360"/>
      </w:pPr>
      <w:rPr>
        <w:rFonts w:ascii="Wingdings" w:hAnsi="Wingdings" w:hint="default"/>
      </w:rPr>
    </w:lvl>
    <w:lvl w:ilvl="3" w:tplc="181A10AE" w:tentative="1">
      <w:start w:val="1"/>
      <w:numFmt w:val="bullet"/>
      <w:lvlText w:val=""/>
      <w:lvlJc w:val="left"/>
      <w:pPr>
        <w:ind w:left="2880" w:hanging="360"/>
      </w:pPr>
      <w:rPr>
        <w:rFonts w:ascii="Symbol" w:hAnsi="Symbol" w:hint="default"/>
      </w:rPr>
    </w:lvl>
    <w:lvl w:ilvl="4" w:tplc="24E4C68C" w:tentative="1">
      <w:start w:val="1"/>
      <w:numFmt w:val="bullet"/>
      <w:lvlText w:val="o"/>
      <w:lvlJc w:val="left"/>
      <w:pPr>
        <w:ind w:left="3600" w:hanging="360"/>
      </w:pPr>
      <w:rPr>
        <w:rFonts w:ascii="Courier New" w:hAnsi="Courier New" w:cs="Courier New" w:hint="default"/>
      </w:rPr>
    </w:lvl>
    <w:lvl w:ilvl="5" w:tplc="99D6166E" w:tentative="1">
      <w:start w:val="1"/>
      <w:numFmt w:val="bullet"/>
      <w:lvlText w:val=""/>
      <w:lvlJc w:val="left"/>
      <w:pPr>
        <w:ind w:left="4320" w:hanging="360"/>
      </w:pPr>
      <w:rPr>
        <w:rFonts w:ascii="Wingdings" w:hAnsi="Wingdings" w:hint="default"/>
      </w:rPr>
    </w:lvl>
    <w:lvl w:ilvl="6" w:tplc="CBEA4378" w:tentative="1">
      <w:start w:val="1"/>
      <w:numFmt w:val="bullet"/>
      <w:lvlText w:val=""/>
      <w:lvlJc w:val="left"/>
      <w:pPr>
        <w:ind w:left="5040" w:hanging="360"/>
      </w:pPr>
      <w:rPr>
        <w:rFonts w:ascii="Symbol" w:hAnsi="Symbol" w:hint="default"/>
      </w:rPr>
    </w:lvl>
    <w:lvl w:ilvl="7" w:tplc="A06A8454" w:tentative="1">
      <w:start w:val="1"/>
      <w:numFmt w:val="bullet"/>
      <w:lvlText w:val="o"/>
      <w:lvlJc w:val="left"/>
      <w:pPr>
        <w:ind w:left="5760" w:hanging="360"/>
      </w:pPr>
      <w:rPr>
        <w:rFonts w:ascii="Courier New" w:hAnsi="Courier New" w:cs="Courier New" w:hint="default"/>
      </w:rPr>
    </w:lvl>
    <w:lvl w:ilvl="8" w:tplc="FD0A1442" w:tentative="1">
      <w:start w:val="1"/>
      <w:numFmt w:val="bullet"/>
      <w:lvlText w:val=""/>
      <w:lvlJc w:val="left"/>
      <w:pPr>
        <w:ind w:left="6480" w:hanging="360"/>
      </w:pPr>
      <w:rPr>
        <w:rFonts w:ascii="Wingdings" w:hAnsi="Wingdings" w:hint="default"/>
      </w:rPr>
    </w:lvl>
  </w:abstractNum>
  <w:abstractNum w:abstractNumId="11" w15:restartNumberingAfterBreak="0">
    <w:nsid w:val="3E2F62D6"/>
    <w:multiLevelType w:val="hybridMultilevel"/>
    <w:tmpl w:val="32983724"/>
    <w:lvl w:ilvl="0" w:tplc="22685ED6">
      <w:start w:val="1"/>
      <w:numFmt w:val="none"/>
      <w:lvlText w:val="%1A."/>
      <w:lvlJc w:val="left"/>
      <w:pPr>
        <w:tabs>
          <w:tab w:val="num" w:pos="3870"/>
        </w:tabs>
        <w:ind w:left="3870" w:hanging="720"/>
      </w:pPr>
      <w:rPr>
        <w:rFonts w:cs="Times New Roman" w:hint="default"/>
        <w:b w:val="0"/>
      </w:rPr>
    </w:lvl>
    <w:lvl w:ilvl="1" w:tplc="CE063110">
      <w:start w:val="17"/>
      <w:numFmt w:val="upperLetter"/>
      <w:lvlText w:val="%2."/>
      <w:lvlJc w:val="left"/>
      <w:pPr>
        <w:tabs>
          <w:tab w:val="num" w:pos="2160"/>
        </w:tabs>
        <w:ind w:left="2160" w:hanging="360"/>
      </w:pPr>
      <w:rPr>
        <w:rFonts w:hint="default"/>
      </w:rPr>
    </w:lvl>
    <w:lvl w:ilvl="2" w:tplc="8D22ED12" w:tentative="1">
      <w:start w:val="1"/>
      <w:numFmt w:val="lowerRoman"/>
      <w:lvlText w:val="%3."/>
      <w:lvlJc w:val="right"/>
      <w:pPr>
        <w:tabs>
          <w:tab w:val="num" w:pos="2880"/>
        </w:tabs>
        <w:ind w:left="2880" w:hanging="180"/>
      </w:pPr>
    </w:lvl>
    <w:lvl w:ilvl="3" w:tplc="6A2C7F48" w:tentative="1">
      <w:start w:val="1"/>
      <w:numFmt w:val="decimal"/>
      <w:lvlText w:val="%4."/>
      <w:lvlJc w:val="left"/>
      <w:pPr>
        <w:tabs>
          <w:tab w:val="num" w:pos="3600"/>
        </w:tabs>
        <w:ind w:left="3600" w:hanging="360"/>
      </w:pPr>
    </w:lvl>
    <w:lvl w:ilvl="4" w:tplc="81EEF6BE" w:tentative="1">
      <w:start w:val="1"/>
      <w:numFmt w:val="lowerLetter"/>
      <w:lvlText w:val="%5."/>
      <w:lvlJc w:val="left"/>
      <w:pPr>
        <w:tabs>
          <w:tab w:val="num" w:pos="4320"/>
        </w:tabs>
        <w:ind w:left="4320" w:hanging="360"/>
      </w:pPr>
    </w:lvl>
    <w:lvl w:ilvl="5" w:tplc="73F2669C" w:tentative="1">
      <w:start w:val="1"/>
      <w:numFmt w:val="lowerRoman"/>
      <w:lvlText w:val="%6."/>
      <w:lvlJc w:val="right"/>
      <w:pPr>
        <w:tabs>
          <w:tab w:val="num" w:pos="5040"/>
        </w:tabs>
        <w:ind w:left="5040" w:hanging="180"/>
      </w:pPr>
    </w:lvl>
    <w:lvl w:ilvl="6" w:tplc="09DEDA88" w:tentative="1">
      <w:start w:val="1"/>
      <w:numFmt w:val="decimal"/>
      <w:lvlText w:val="%7."/>
      <w:lvlJc w:val="left"/>
      <w:pPr>
        <w:tabs>
          <w:tab w:val="num" w:pos="5760"/>
        </w:tabs>
        <w:ind w:left="5760" w:hanging="360"/>
      </w:pPr>
    </w:lvl>
    <w:lvl w:ilvl="7" w:tplc="5036B3B0" w:tentative="1">
      <w:start w:val="1"/>
      <w:numFmt w:val="lowerLetter"/>
      <w:lvlText w:val="%8."/>
      <w:lvlJc w:val="left"/>
      <w:pPr>
        <w:tabs>
          <w:tab w:val="num" w:pos="6480"/>
        </w:tabs>
        <w:ind w:left="6480" w:hanging="360"/>
      </w:pPr>
    </w:lvl>
    <w:lvl w:ilvl="8" w:tplc="E55A3AC4" w:tentative="1">
      <w:start w:val="1"/>
      <w:numFmt w:val="lowerRoman"/>
      <w:lvlText w:val="%9."/>
      <w:lvlJc w:val="right"/>
      <w:pPr>
        <w:tabs>
          <w:tab w:val="num" w:pos="7200"/>
        </w:tabs>
        <w:ind w:left="7200" w:hanging="180"/>
      </w:pPr>
    </w:lvl>
  </w:abstractNum>
  <w:abstractNum w:abstractNumId="12" w15:restartNumberingAfterBreak="0">
    <w:nsid w:val="48CE4B40"/>
    <w:multiLevelType w:val="hybridMultilevel"/>
    <w:tmpl w:val="338019E8"/>
    <w:lvl w:ilvl="0" w:tplc="79124A4C">
      <w:start w:val="3"/>
      <w:numFmt w:val="bullet"/>
      <w:lvlText w:val="-"/>
      <w:lvlJc w:val="left"/>
      <w:pPr>
        <w:ind w:left="720" w:hanging="360"/>
      </w:pPr>
      <w:rPr>
        <w:rFonts w:ascii="Times New Roman" w:eastAsia="Times New Roman" w:hAnsi="Times New Roman" w:cs="Times New Roman" w:hint="default"/>
      </w:rPr>
    </w:lvl>
    <w:lvl w:ilvl="1" w:tplc="D726528A" w:tentative="1">
      <w:start w:val="1"/>
      <w:numFmt w:val="bullet"/>
      <w:lvlText w:val="o"/>
      <w:lvlJc w:val="left"/>
      <w:pPr>
        <w:ind w:left="1440" w:hanging="360"/>
      </w:pPr>
      <w:rPr>
        <w:rFonts w:ascii="Courier New" w:hAnsi="Courier New" w:cs="Courier New" w:hint="default"/>
      </w:rPr>
    </w:lvl>
    <w:lvl w:ilvl="2" w:tplc="D64CA5AC" w:tentative="1">
      <w:start w:val="1"/>
      <w:numFmt w:val="bullet"/>
      <w:lvlText w:val=""/>
      <w:lvlJc w:val="left"/>
      <w:pPr>
        <w:ind w:left="2160" w:hanging="360"/>
      </w:pPr>
      <w:rPr>
        <w:rFonts w:ascii="Wingdings" w:hAnsi="Wingdings" w:hint="default"/>
      </w:rPr>
    </w:lvl>
    <w:lvl w:ilvl="3" w:tplc="5D363E9E" w:tentative="1">
      <w:start w:val="1"/>
      <w:numFmt w:val="bullet"/>
      <w:lvlText w:val=""/>
      <w:lvlJc w:val="left"/>
      <w:pPr>
        <w:ind w:left="2880" w:hanging="360"/>
      </w:pPr>
      <w:rPr>
        <w:rFonts w:ascii="Symbol" w:hAnsi="Symbol" w:hint="default"/>
      </w:rPr>
    </w:lvl>
    <w:lvl w:ilvl="4" w:tplc="9EC0CBDA" w:tentative="1">
      <w:start w:val="1"/>
      <w:numFmt w:val="bullet"/>
      <w:lvlText w:val="o"/>
      <w:lvlJc w:val="left"/>
      <w:pPr>
        <w:ind w:left="3600" w:hanging="360"/>
      </w:pPr>
      <w:rPr>
        <w:rFonts w:ascii="Courier New" w:hAnsi="Courier New" w:cs="Courier New" w:hint="default"/>
      </w:rPr>
    </w:lvl>
    <w:lvl w:ilvl="5" w:tplc="1A98B6D6" w:tentative="1">
      <w:start w:val="1"/>
      <w:numFmt w:val="bullet"/>
      <w:lvlText w:val=""/>
      <w:lvlJc w:val="left"/>
      <w:pPr>
        <w:ind w:left="4320" w:hanging="360"/>
      </w:pPr>
      <w:rPr>
        <w:rFonts w:ascii="Wingdings" w:hAnsi="Wingdings" w:hint="default"/>
      </w:rPr>
    </w:lvl>
    <w:lvl w:ilvl="6" w:tplc="A12C7C58" w:tentative="1">
      <w:start w:val="1"/>
      <w:numFmt w:val="bullet"/>
      <w:lvlText w:val=""/>
      <w:lvlJc w:val="left"/>
      <w:pPr>
        <w:ind w:left="5040" w:hanging="360"/>
      </w:pPr>
      <w:rPr>
        <w:rFonts w:ascii="Symbol" w:hAnsi="Symbol" w:hint="default"/>
      </w:rPr>
    </w:lvl>
    <w:lvl w:ilvl="7" w:tplc="9BFA53BC" w:tentative="1">
      <w:start w:val="1"/>
      <w:numFmt w:val="bullet"/>
      <w:lvlText w:val="o"/>
      <w:lvlJc w:val="left"/>
      <w:pPr>
        <w:ind w:left="5760" w:hanging="360"/>
      </w:pPr>
      <w:rPr>
        <w:rFonts w:ascii="Courier New" w:hAnsi="Courier New" w:cs="Courier New" w:hint="default"/>
      </w:rPr>
    </w:lvl>
    <w:lvl w:ilvl="8" w:tplc="A7F873BC" w:tentative="1">
      <w:start w:val="1"/>
      <w:numFmt w:val="bullet"/>
      <w:lvlText w:val=""/>
      <w:lvlJc w:val="left"/>
      <w:pPr>
        <w:ind w:left="6480" w:hanging="360"/>
      </w:pPr>
      <w:rPr>
        <w:rFonts w:ascii="Wingdings" w:hAnsi="Wingdings" w:hint="default"/>
      </w:rPr>
    </w:lvl>
  </w:abstractNum>
  <w:abstractNum w:abstractNumId="13" w15:restartNumberingAfterBreak="0">
    <w:nsid w:val="50A33195"/>
    <w:multiLevelType w:val="singleLevel"/>
    <w:tmpl w:val="8C6A3092"/>
    <w:lvl w:ilvl="0">
      <w:start w:val="1"/>
      <w:numFmt w:val="upperLetter"/>
      <w:lvlText w:val="%1."/>
      <w:lvlJc w:val="left"/>
      <w:pPr>
        <w:tabs>
          <w:tab w:val="num" w:pos="720"/>
        </w:tabs>
        <w:ind w:left="720" w:hanging="720"/>
      </w:pPr>
      <w:rPr>
        <w:rFonts w:cs="Times New Roman" w:hint="default"/>
      </w:rPr>
    </w:lvl>
  </w:abstractNum>
  <w:abstractNum w:abstractNumId="14" w15:restartNumberingAfterBreak="0">
    <w:nsid w:val="58201CF1"/>
    <w:multiLevelType w:val="hybridMultilevel"/>
    <w:tmpl w:val="0E82CC30"/>
    <w:lvl w:ilvl="0" w:tplc="57FCD6EA">
      <w:start w:val="3"/>
      <w:numFmt w:val="bullet"/>
      <w:lvlText w:val="-"/>
      <w:lvlJc w:val="left"/>
      <w:pPr>
        <w:ind w:left="720" w:hanging="360"/>
      </w:pPr>
      <w:rPr>
        <w:rFonts w:ascii="Times New Roman" w:eastAsia="Times New Roman" w:hAnsi="Times New Roman" w:cs="Times New Roman" w:hint="default"/>
      </w:rPr>
    </w:lvl>
    <w:lvl w:ilvl="1" w:tplc="588080A0">
      <w:start w:val="1"/>
      <w:numFmt w:val="bullet"/>
      <w:lvlText w:val="o"/>
      <w:lvlJc w:val="left"/>
      <w:pPr>
        <w:ind w:left="1440" w:hanging="360"/>
      </w:pPr>
      <w:rPr>
        <w:rFonts w:ascii="Courier New" w:hAnsi="Courier New" w:cs="Courier New" w:hint="default"/>
      </w:rPr>
    </w:lvl>
    <w:lvl w:ilvl="2" w:tplc="12545DA4" w:tentative="1">
      <w:start w:val="1"/>
      <w:numFmt w:val="bullet"/>
      <w:lvlText w:val=""/>
      <w:lvlJc w:val="left"/>
      <w:pPr>
        <w:ind w:left="2160" w:hanging="360"/>
      </w:pPr>
      <w:rPr>
        <w:rFonts w:ascii="Wingdings" w:hAnsi="Wingdings" w:hint="default"/>
      </w:rPr>
    </w:lvl>
    <w:lvl w:ilvl="3" w:tplc="DFE60D2C" w:tentative="1">
      <w:start w:val="1"/>
      <w:numFmt w:val="bullet"/>
      <w:lvlText w:val=""/>
      <w:lvlJc w:val="left"/>
      <w:pPr>
        <w:ind w:left="2880" w:hanging="360"/>
      </w:pPr>
      <w:rPr>
        <w:rFonts w:ascii="Symbol" w:hAnsi="Symbol" w:hint="default"/>
      </w:rPr>
    </w:lvl>
    <w:lvl w:ilvl="4" w:tplc="A738B120" w:tentative="1">
      <w:start w:val="1"/>
      <w:numFmt w:val="bullet"/>
      <w:lvlText w:val="o"/>
      <w:lvlJc w:val="left"/>
      <w:pPr>
        <w:ind w:left="3600" w:hanging="360"/>
      </w:pPr>
      <w:rPr>
        <w:rFonts w:ascii="Courier New" w:hAnsi="Courier New" w:cs="Courier New" w:hint="default"/>
      </w:rPr>
    </w:lvl>
    <w:lvl w:ilvl="5" w:tplc="BBCAE85C" w:tentative="1">
      <w:start w:val="1"/>
      <w:numFmt w:val="bullet"/>
      <w:lvlText w:val=""/>
      <w:lvlJc w:val="left"/>
      <w:pPr>
        <w:ind w:left="4320" w:hanging="360"/>
      </w:pPr>
      <w:rPr>
        <w:rFonts w:ascii="Wingdings" w:hAnsi="Wingdings" w:hint="default"/>
      </w:rPr>
    </w:lvl>
    <w:lvl w:ilvl="6" w:tplc="D83E7E8C" w:tentative="1">
      <w:start w:val="1"/>
      <w:numFmt w:val="bullet"/>
      <w:lvlText w:val=""/>
      <w:lvlJc w:val="left"/>
      <w:pPr>
        <w:ind w:left="5040" w:hanging="360"/>
      </w:pPr>
      <w:rPr>
        <w:rFonts w:ascii="Symbol" w:hAnsi="Symbol" w:hint="default"/>
      </w:rPr>
    </w:lvl>
    <w:lvl w:ilvl="7" w:tplc="44B09EA4" w:tentative="1">
      <w:start w:val="1"/>
      <w:numFmt w:val="bullet"/>
      <w:lvlText w:val="o"/>
      <w:lvlJc w:val="left"/>
      <w:pPr>
        <w:ind w:left="5760" w:hanging="360"/>
      </w:pPr>
      <w:rPr>
        <w:rFonts w:ascii="Courier New" w:hAnsi="Courier New" w:cs="Courier New" w:hint="default"/>
      </w:rPr>
    </w:lvl>
    <w:lvl w:ilvl="8" w:tplc="A538019E" w:tentative="1">
      <w:start w:val="1"/>
      <w:numFmt w:val="bullet"/>
      <w:lvlText w:val=""/>
      <w:lvlJc w:val="left"/>
      <w:pPr>
        <w:ind w:left="6480" w:hanging="360"/>
      </w:pPr>
      <w:rPr>
        <w:rFonts w:ascii="Wingdings" w:hAnsi="Wingdings" w:hint="default"/>
      </w:rPr>
    </w:lvl>
  </w:abstractNum>
  <w:abstractNum w:abstractNumId="15" w15:restartNumberingAfterBreak="0">
    <w:nsid w:val="5F603819"/>
    <w:multiLevelType w:val="hybridMultilevel"/>
    <w:tmpl w:val="C68A1116"/>
    <w:lvl w:ilvl="0" w:tplc="0409000F">
      <w:start w:val="1"/>
      <w:numFmt w:val="decimal"/>
      <w:lvlText w:val="%1."/>
      <w:lvlJc w:val="left"/>
      <w:pPr>
        <w:tabs>
          <w:tab w:val="num" w:pos="3870"/>
        </w:tabs>
        <w:ind w:left="3870" w:hanging="720"/>
      </w:pPr>
      <w:rPr>
        <w:rFonts w:hint="default"/>
        <w:b w:val="0"/>
      </w:rPr>
    </w:lvl>
    <w:lvl w:ilvl="1" w:tplc="07FCA054">
      <w:start w:val="17"/>
      <w:numFmt w:val="upp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5F743765"/>
    <w:multiLevelType w:val="hybridMultilevel"/>
    <w:tmpl w:val="AAC611FC"/>
    <w:lvl w:ilvl="0" w:tplc="49189ED2">
      <w:start w:val="1"/>
      <w:numFmt w:val="bullet"/>
      <w:lvlText w:val=""/>
      <w:lvlJc w:val="left"/>
      <w:pPr>
        <w:ind w:left="720" w:hanging="360"/>
      </w:pPr>
      <w:rPr>
        <w:rFonts w:ascii="Symbol" w:hAnsi="Symbol" w:hint="default"/>
      </w:rPr>
    </w:lvl>
    <w:lvl w:ilvl="1" w:tplc="592E96F6" w:tentative="1">
      <w:start w:val="1"/>
      <w:numFmt w:val="bullet"/>
      <w:lvlText w:val="o"/>
      <w:lvlJc w:val="left"/>
      <w:pPr>
        <w:ind w:left="1440" w:hanging="360"/>
      </w:pPr>
      <w:rPr>
        <w:rFonts w:ascii="Courier New" w:hAnsi="Courier New" w:cs="Courier New" w:hint="default"/>
      </w:rPr>
    </w:lvl>
    <w:lvl w:ilvl="2" w:tplc="DBC00F84" w:tentative="1">
      <w:start w:val="1"/>
      <w:numFmt w:val="bullet"/>
      <w:lvlText w:val=""/>
      <w:lvlJc w:val="left"/>
      <w:pPr>
        <w:ind w:left="2160" w:hanging="360"/>
      </w:pPr>
      <w:rPr>
        <w:rFonts w:ascii="Wingdings" w:hAnsi="Wingdings" w:hint="default"/>
      </w:rPr>
    </w:lvl>
    <w:lvl w:ilvl="3" w:tplc="8378F49A" w:tentative="1">
      <w:start w:val="1"/>
      <w:numFmt w:val="bullet"/>
      <w:lvlText w:val=""/>
      <w:lvlJc w:val="left"/>
      <w:pPr>
        <w:ind w:left="2880" w:hanging="360"/>
      </w:pPr>
      <w:rPr>
        <w:rFonts w:ascii="Symbol" w:hAnsi="Symbol" w:hint="default"/>
      </w:rPr>
    </w:lvl>
    <w:lvl w:ilvl="4" w:tplc="5D9A43BC" w:tentative="1">
      <w:start w:val="1"/>
      <w:numFmt w:val="bullet"/>
      <w:lvlText w:val="o"/>
      <w:lvlJc w:val="left"/>
      <w:pPr>
        <w:ind w:left="3600" w:hanging="360"/>
      </w:pPr>
      <w:rPr>
        <w:rFonts w:ascii="Courier New" w:hAnsi="Courier New" w:cs="Courier New" w:hint="default"/>
      </w:rPr>
    </w:lvl>
    <w:lvl w:ilvl="5" w:tplc="F54AA358" w:tentative="1">
      <w:start w:val="1"/>
      <w:numFmt w:val="bullet"/>
      <w:lvlText w:val=""/>
      <w:lvlJc w:val="left"/>
      <w:pPr>
        <w:ind w:left="4320" w:hanging="360"/>
      </w:pPr>
      <w:rPr>
        <w:rFonts w:ascii="Wingdings" w:hAnsi="Wingdings" w:hint="default"/>
      </w:rPr>
    </w:lvl>
    <w:lvl w:ilvl="6" w:tplc="F07EBBD6" w:tentative="1">
      <w:start w:val="1"/>
      <w:numFmt w:val="bullet"/>
      <w:lvlText w:val=""/>
      <w:lvlJc w:val="left"/>
      <w:pPr>
        <w:ind w:left="5040" w:hanging="360"/>
      </w:pPr>
      <w:rPr>
        <w:rFonts w:ascii="Symbol" w:hAnsi="Symbol" w:hint="default"/>
      </w:rPr>
    </w:lvl>
    <w:lvl w:ilvl="7" w:tplc="9C94830A" w:tentative="1">
      <w:start w:val="1"/>
      <w:numFmt w:val="bullet"/>
      <w:lvlText w:val="o"/>
      <w:lvlJc w:val="left"/>
      <w:pPr>
        <w:ind w:left="5760" w:hanging="360"/>
      </w:pPr>
      <w:rPr>
        <w:rFonts w:ascii="Courier New" w:hAnsi="Courier New" w:cs="Courier New" w:hint="default"/>
      </w:rPr>
    </w:lvl>
    <w:lvl w:ilvl="8" w:tplc="A1F6C5FC" w:tentative="1">
      <w:start w:val="1"/>
      <w:numFmt w:val="bullet"/>
      <w:lvlText w:val=""/>
      <w:lvlJc w:val="left"/>
      <w:pPr>
        <w:ind w:left="6480" w:hanging="360"/>
      </w:pPr>
      <w:rPr>
        <w:rFonts w:ascii="Wingdings" w:hAnsi="Wingdings" w:hint="default"/>
      </w:rPr>
    </w:lvl>
  </w:abstractNum>
  <w:abstractNum w:abstractNumId="17" w15:restartNumberingAfterBreak="0">
    <w:nsid w:val="5F7E1D19"/>
    <w:multiLevelType w:val="singleLevel"/>
    <w:tmpl w:val="FFFFFFFF"/>
    <w:lvl w:ilvl="0">
      <w:start w:val="17"/>
      <w:numFmt w:val="upperLetter"/>
      <w:pStyle w:val="Heading1"/>
      <w:lvlText w:val="%1."/>
      <w:legacy w:legacy="1" w:legacySpace="0" w:legacyIndent="720"/>
      <w:lvlJc w:val="left"/>
      <w:pPr>
        <w:ind w:left="720" w:hanging="720"/>
      </w:pPr>
      <w:rPr>
        <w:rFonts w:cs="Times New Roman"/>
      </w:rPr>
    </w:lvl>
  </w:abstractNum>
  <w:abstractNum w:abstractNumId="18" w15:restartNumberingAfterBreak="0">
    <w:nsid w:val="61652B70"/>
    <w:multiLevelType w:val="hybridMultilevel"/>
    <w:tmpl w:val="4D704376"/>
    <w:lvl w:ilvl="0" w:tplc="FE049B3C">
      <w:start w:val="1"/>
      <w:numFmt w:val="bullet"/>
      <w:lvlText w:val=""/>
      <w:lvlJc w:val="left"/>
      <w:pPr>
        <w:ind w:left="1440" w:hanging="360"/>
      </w:pPr>
      <w:rPr>
        <w:rFonts w:ascii="Symbol" w:hAnsi="Symbol" w:hint="default"/>
      </w:rPr>
    </w:lvl>
    <w:lvl w:ilvl="1" w:tplc="E700AF70" w:tentative="1">
      <w:start w:val="1"/>
      <w:numFmt w:val="bullet"/>
      <w:lvlText w:val="o"/>
      <w:lvlJc w:val="left"/>
      <w:pPr>
        <w:ind w:left="2160" w:hanging="360"/>
      </w:pPr>
      <w:rPr>
        <w:rFonts w:ascii="Courier New" w:hAnsi="Courier New" w:cs="Courier New" w:hint="default"/>
      </w:rPr>
    </w:lvl>
    <w:lvl w:ilvl="2" w:tplc="CA025CE4" w:tentative="1">
      <w:start w:val="1"/>
      <w:numFmt w:val="bullet"/>
      <w:lvlText w:val=""/>
      <w:lvlJc w:val="left"/>
      <w:pPr>
        <w:ind w:left="2880" w:hanging="360"/>
      </w:pPr>
      <w:rPr>
        <w:rFonts w:ascii="Wingdings" w:hAnsi="Wingdings" w:hint="default"/>
      </w:rPr>
    </w:lvl>
    <w:lvl w:ilvl="3" w:tplc="FEC4299C" w:tentative="1">
      <w:start w:val="1"/>
      <w:numFmt w:val="bullet"/>
      <w:lvlText w:val=""/>
      <w:lvlJc w:val="left"/>
      <w:pPr>
        <w:ind w:left="3600" w:hanging="360"/>
      </w:pPr>
      <w:rPr>
        <w:rFonts w:ascii="Symbol" w:hAnsi="Symbol" w:hint="default"/>
      </w:rPr>
    </w:lvl>
    <w:lvl w:ilvl="4" w:tplc="A0602D14" w:tentative="1">
      <w:start w:val="1"/>
      <w:numFmt w:val="bullet"/>
      <w:lvlText w:val="o"/>
      <w:lvlJc w:val="left"/>
      <w:pPr>
        <w:ind w:left="4320" w:hanging="360"/>
      </w:pPr>
      <w:rPr>
        <w:rFonts w:ascii="Courier New" w:hAnsi="Courier New" w:cs="Courier New" w:hint="default"/>
      </w:rPr>
    </w:lvl>
    <w:lvl w:ilvl="5" w:tplc="9EB4FD5A" w:tentative="1">
      <w:start w:val="1"/>
      <w:numFmt w:val="bullet"/>
      <w:lvlText w:val=""/>
      <w:lvlJc w:val="left"/>
      <w:pPr>
        <w:ind w:left="5040" w:hanging="360"/>
      </w:pPr>
      <w:rPr>
        <w:rFonts w:ascii="Wingdings" w:hAnsi="Wingdings" w:hint="default"/>
      </w:rPr>
    </w:lvl>
    <w:lvl w:ilvl="6" w:tplc="0C96383C" w:tentative="1">
      <w:start w:val="1"/>
      <w:numFmt w:val="bullet"/>
      <w:lvlText w:val=""/>
      <w:lvlJc w:val="left"/>
      <w:pPr>
        <w:ind w:left="5760" w:hanging="360"/>
      </w:pPr>
      <w:rPr>
        <w:rFonts w:ascii="Symbol" w:hAnsi="Symbol" w:hint="default"/>
      </w:rPr>
    </w:lvl>
    <w:lvl w:ilvl="7" w:tplc="AD6C8720" w:tentative="1">
      <w:start w:val="1"/>
      <w:numFmt w:val="bullet"/>
      <w:lvlText w:val="o"/>
      <w:lvlJc w:val="left"/>
      <w:pPr>
        <w:ind w:left="6480" w:hanging="360"/>
      </w:pPr>
      <w:rPr>
        <w:rFonts w:ascii="Courier New" w:hAnsi="Courier New" w:cs="Courier New" w:hint="default"/>
      </w:rPr>
    </w:lvl>
    <w:lvl w:ilvl="8" w:tplc="4E466C7C" w:tentative="1">
      <w:start w:val="1"/>
      <w:numFmt w:val="bullet"/>
      <w:lvlText w:val=""/>
      <w:lvlJc w:val="left"/>
      <w:pPr>
        <w:ind w:left="7200" w:hanging="360"/>
      </w:pPr>
      <w:rPr>
        <w:rFonts w:ascii="Wingdings" w:hAnsi="Wingdings" w:hint="default"/>
      </w:rPr>
    </w:lvl>
  </w:abstractNum>
  <w:abstractNum w:abstractNumId="19" w15:restartNumberingAfterBreak="0">
    <w:nsid w:val="6350385F"/>
    <w:multiLevelType w:val="hybridMultilevel"/>
    <w:tmpl w:val="8A184BA0"/>
    <w:lvl w:ilvl="0" w:tplc="858CCC56">
      <w:start w:val="1"/>
      <w:numFmt w:val="bullet"/>
      <w:lvlText w:val=""/>
      <w:lvlJc w:val="left"/>
      <w:pPr>
        <w:tabs>
          <w:tab w:val="num" w:pos="1080"/>
        </w:tabs>
        <w:ind w:left="1080" w:hanging="360"/>
      </w:pPr>
      <w:rPr>
        <w:rFonts w:ascii="Symbol" w:hAnsi="Symbol" w:hint="default"/>
      </w:rPr>
    </w:lvl>
    <w:lvl w:ilvl="1" w:tplc="B16026FA" w:tentative="1">
      <w:start w:val="1"/>
      <w:numFmt w:val="bullet"/>
      <w:lvlText w:val="o"/>
      <w:lvlJc w:val="left"/>
      <w:pPr>
        <w:tabs>
          <w:tab w:val="num" w:pos="2160"/>
        </w:tabs>
        <w:ind w:left="2160" w:hanging="360"/>
      </w:pPr>
      <w:rPr>
        <w:rFonts w:ascii="Courier New" w:hAnsi="Courier New" w:hint="default"/>
      </w:rPr>
    </w:lvl>
    <w:lvl w:ilvl="2" w:tplc="979CB99C" w:tentative="1">
      <w:start w:val="1"/>
      <w:numFmt w:val="bullet"/>
      <w:lvlText w:val=""/>
      <w:lvlJc w:val="left"/>
      <w:pPr>
        <w:tabs>
          <w:tab w:val="num" w:pos="2880"/>
        </w:tabs>
        <w:ind w:left="2880" w:hanging="360"/>
      </w:pPr>
      <w:rPr>
        <w:rFonts w:ascii="Wingdings" w:hAnsi="Wingdings" w:hint="default"/>
      </w:rPr>
    </w:lvl>
    <w:lvl w:ilvl="3" w:tplc="19CCF694" w:tentative="1">
      <w:start w:val="1"/>
      <w:numFmt w:val="bullet"/>
      <w:lvlText w:val=""/>
      <w:lvlJc w:val="left"/>
      <w:pPr>
        <w:tabs>
          <w:tab w:val="num" w:pos="3600"/>
        </w:tabs>
        <w:ind w:left="3600" w:hanging="360"/>
      </w:pPr>
      <w:rPr>
        <w:rFonts w:ascii="Symbol" w:hAnsi="Symbol" w:hint="default"/>
      </w:rPr>
    </w:lvl>
    <w:lvl w:ilvl="4" w:tplc="1A3CF7D6" w:tentative="1">
      <w:start w:val="1"/>
      <w:numFmt w:val="bullet"/>
      <w:lvlText w:val="o"/>
      <w:lvlJc w:val="left"/>
      <w:pPr>
        <w:tabs>
          <w:tab w:val="num" w:pos="4320"/>
        </w:tabs>
        <w:ind w:left="4320" w:hanging="360"/>
      </w:pPr>
      <w:rPr>
        <w:rFonts w:ascii="Courier New" w:hAnsi="Courier New" w:hint="default"/>
      </w:rPr>
    </w:lvl>
    <w:lvl w:ilvl="5" w:tplc="6F22C30C" w:tentative="1">
      <w:start w:val="1"/>
      <w:numFmt w:val="bullet"/>
      <w:lvlText w:val=""/>
      <w:lvlJc w:val="left"/>
      <w:pPr>
        <w:tabs>
          <w:tab w:val="num" w:pos="5040"/>
        </w:tabs>
        <w:ind w:left="5040" w:hanging="360"/>
      </w:pPr>
      <w:rPr>
        <w:rFonts w:ascii="Wingdings" w:hAnsi="Wingdings" w:hint="default"/>
      </w:rPr>
    </w:lvl>
    <w:lvl w:ilvl="6" w:tplc="233CF832" w:tentative="1">
      <w:start w:val="1"/>
      <w:numFmt w:val="bullet"/>
      <w:lvlText w:val=""/>
      <w:lvlJc w:val="left"/>
      <w:pPr>
        <w:tabs>
          <w:tab w:val="num" w:pos="5760"/>
        </w:tabs>
        <w:ind w:left="5760" w:hanging="360"/>
      </w:pPr>
      <w:rPr>
        <w:rFonts w:ascii="Symbol" w:hAnsi="Symbol" w:hint="default"/>
      </w:rPr>
    </w:lvl>
    <w:lvl w:ilvl="7" w:tplc="34FAACCA" w:tentative="1">
      <w:start w:val="1"/>
      <w:numFmt w:val="bullet"/>
      <w:lvlText w:val="o"/>
      <w:lvlJc w:val="left"/>
      <w:pPr>
        <w:tabs>
          <w:tab w:val="num" w:pos="6480"/>
        </w:tabs>
        <w:ind w:left="6480" w:hanging="360"/>
      </w:pPr>
      <w:rPr>
        <w:rFonts w:ascii="Courier New" w:hAnsi="Courier New" w:hint="default"/>
      </w:rPr>
    </w:lvl>
    <w:lvl w:ilvl="8" w:tplc="385CA664"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AAB6EFB"/>
    <w:multiLevelType w:val="hybridMultilevel"/>
    <w:tmpl w:val="C58C3B62"/>
    <w:lvl w:ilvl="0" w:tplc="805CB79A">
      <w:start w:val="1"/>
      <w:numFmt w:val="bullet"/>
      <w:lvlText w:val=""/>
      <w:lvlJc w:val="left"/>
      <w:pPr>
        <w:ind w:left="2160" w:hanging="360"/>
      </w:pPr>
      <w:rPr>
        <w:rFonts w:ascii="Symbol" w:hAnsi="Symbol" w:hint="default"/>
      </w:rPr>
    </w:lvl>
    <w:lvl w:ilvl="1" w:tplc="0C48A470" w:tentative="1">
      <w:start w:val="1"/>
      <w:numFmt w:val="bullet"/>
      <w:lvlText w:val="o"/>
      <w:lvlJc w:val="left"/>
      <w:pPr>
        <w:ind w:left="2880" w:hanging="360"/>
      </w:pPr>
      <w:rPr>
        <w:rFonts w:ascii="Courier New" w:hAnsi="Courier New" w:cs="Courier New" w:hint="default"/>
      </w:rPr>
    </w:lvl>
    <w:lvl w:ilvl="2" w:tplc="0E982520" w:tentative="1">
      <w:start w:val="1"/>
      <w:numFmt w:val="bullet"/>
      <w:lvlText w:val=""/>
      <w:lvlJc w:val="left"/>
      <w:pPr>
        <w:ind w:left="3600" w:hanging="360"/>
      </w:pPr>
      <w:rPr>
        <w:rFonts w:ascii="Wingdings" w:hAnsi="Wingdings" w:hint="default"/>
      </w:rPr>
    </w:lvl>
    <w:lvl w:ilvl="3" w:tplc="8EB07DC6" w:tentative="1">
      <w:start w:val="1"/>
      <w:numFmt w:val="bullet"/>
      <w:lvlText w:val=""/>
      <w:lvlJc w:val="left"/>
      <w:pPr>
        <w:ind w:left="4320" w:hanging="360"/>
      </w:pPr>
      <w:rPr>
        <w:rFonts w:ascii="Symbol" w:hAnsi="Symbol" w:hint="default"/>
      </w:rPr>
    </w:lvl>
    <w:lvl w:ilvl="4" w:tplc="A614FC50" w:tentative="1">
      <w:start w:val="1"/>
      <w:numFmt w:val="bullet"/>
      <w:lvlText w:val="o"/>
      <w:lvlJc w:val="left"/>
      <w:pPr>
        <w:ind w:left="5040" w:hanging="360"/>
      </w:pPr>
      <w:rPr>
        <w:rFonts w:ascii="Courier New" w:hAnsi="Courier New" w:cs="Courier New" w:hint="default"/>
      </w:rPr>
    </w:lvl>
    <w:lvl w:ilvl="5" w:tplc="3D2E7ED8" w:tentative="1">
      <w:start w:val="1"/>
      <w:numFmt w:val="bullet"/>
      <w:lvlText w:val=""/>
      <w:lvlJc w:val="left"/>
      <w:pPr>
        <w:ind w:left="5760" w:hanging="360"/>
      </w:pPr>
      <w:rPr>
        <w:rFonts w:ascii="Wingdings" w:hAnsi="Wingdings" w:hint="default"/>
      </w:rPr>
    </w:lvl>
    <w:lvl w:ilvl="6" w:tplc="B8FA0116" w:tentative="1">
      <w:start w:val="1"/>
      <w:numFmt w:val="bullet"/>
      <w:lvlText w:val=""/>
      <w:lvlJc w:val="left"/>
      <w:pPr>
        <w:ind w:left="6480" w:hanging="360"/>
      </w:pPr>
      <w:rPr>
        <w:rFonts w:ascii="Symbol" w:hAnsi="Symbol" w:hint="default"/>
      </w:rPr>
    </w:lvl>
    <w:lvl w:ilvl="7" w:tplc="F398B056" w:tentative="1">
      <w:start w:val="1"/>
      <w:numFmt w:val="bullet"/>
      <w:lvlText w:val="o"/>
      <w:lvlJc w:val="left"/>
      <w:pPr>
        <w:ind w:left="7200" w:hanging="360"/>
      </w:pPr>
      <w:rPr>
        <w:rFonts w:ascii="Courier New" w:hAnsi="Courier New" w:cs="Courier New" w:hint="default"/>
      </w:rPr>
    </w:lvl>
    <w:lvl w:ilvl="8" w:tplc="6CC8BC14" w:tentative="1">
      <w:start w:val="1"/>
      <w:numFmt w:val="bullet"/>
      <w:lvlText w:val=""/>
      <w:lvlJc w:val="left"/>
      <w:pPr>
        <w:ind w:left="7920" w:hanging="360"/>
      </w:pPr>
      <w:rPr>
        <w:rFonts w:ascii="Wingdings" w:hAnsi="Wingdings" w:hint="default"/>
      </w:rPr>
    </w:lvl>
  </w:abstractNum>
  <w:abstractNum w:abstractNumId="21" w15:restartNumberingAfterBreak="0">
    <w:nsid w:val="6D2B4C50"/>
    <w:multiLevelType w:val="hybridMultilevel"/>
    <w:tmpl w:val="CAC21236"/>
    <w:lvl w:ilvl="0" w:tplc="B6240310">
      <w:start w:val="3"/>
      <w:numFmt w:val="bullet"/>
      <w:lvlText w:val="-"/>
      <w:lvlJc w:val="left"/>
      <w:pPr>
        <w:ind w:left="720" w:hanging="360"/>
      </w:pPr>
      <w:rPr>
        <w:rFonts w:ascii="Times New Roman" w:eastAsia="Times New Roman" w:hAnsi="Times New Roman" w:cs="Times New Roman" w:hint="default"/>
      </w:rPr>
    </w:lvl>
    <w:lvl w:ilvl="1" w:tplc="F6D256FE" w:tentative="1">
      <w:start w:val="1"/>
      <w:numFmt w:val="bullet"/>
      <w:lvlText w:val="o"/>
      <w:lvlJc w:val="left"/>
      <w:pPr>
        <w:ind w:left="1440" w:hanging="360"/>
      </w:pPr>
      <w:rPr>
        <w:rFonts w:ascii="Courier New" w:hAnsi="Courier New" w:cs="Courier New" w:hint="default"/>
      </w:rPr>
    </w:lvl>
    <w:lvl w:ilvl="2" w:tplc="EAA8C166" w:tentative="1">
      <w:start w:val="1"/>
      <w:numFmt w:val="bullet"/>
      <w:lvlText w:val=""/>
      <w:lvlJc w:val="left"/>
      <w:pPr>
        <w:ind w:left="2160" w:hanging="360"/>
      </w:pPr>
      <w:rPr>
        <w:rFonts w:ascii="Wingdings" w:hAnsi="Wingdings" w:hint="default"/>
      </w:rPr>
    </w:lvl>
    <w:lvl w:ilvl="3" w:tplc="ED349954" w:tentative="1">
      <w:start w:val="1"/>
      <w:numFmt w:val="bullet"/>
      <w:lvlText w:val=""/>
      <w:lvlJc w:val="left"/>
      <w:pPr>
        <w:ind w:left="2880" w:hanging="360"/>
      </w:pPr>
      <w:rPr>
        <w:rFonts w:ascii="Symbol" w:hAnsi="Symbol" w:hint="default"/>
      </w:rPr>
    </w:lvl>
    <w:lvl w:ilvl="4" w:tplc="C3448DE6" w:tentative="1">
      <w:start w:val="1"/>
      <w:numFmt w:val="bullet"/>
      <w:lvlText w:val="o"/>
      <w:lvlJc w:val="left"/>
      <w:pPr>
        <w:ind w:left="3600" w:hanging="360"/>
      </w:pPr>
      <w:rPr>
        <w:rFonts w:ascii="Courier New" w:hAnsi="Courier New" w:cs="Courier New" w:hint="default"/>
      </w:rPr>
    </w:lvl>
    <w:lvl w:ilvl="5" w:tplc="3AB489D8" w:tentative="1">
      <w:start w:val="1"/>
      <w:numFmt w:val="bullet"/>
      <w:lvlText w:val=""/>
      <w:lvlJc w:val="left"/>
      <w:pPr>
        <w:ind w:left="4320" w:hanging="360"/>
      </w:pPr>
      <w:rPr>
        <w:rFonts w:ascii="Wingdings" w:hAnsi="Wingdings" w:hint="default"/>
      </w:rPr>
    </w:lvl>
    <w:lvl w:ilvl="6" w:tplc="A490C69A" w:tentative="1">
      <w:start w:val="1"/>
      <w:numFmt w:val="bullet"/>
      <w:lvlText w:val=""/>
      <w:lvlJc w:val="left"/>
      <w:pPr>
        <w:ind w:left="5040" w:hanging="360"/>
      </w:pPr>
      <w:rPr>
        <w:rFonts w:ascii="Symbol" w:hAnsi="Symbol" w:hint="default"/>
      </w:rPr>
    </w:lvl>
    <w:lvl w:ilvl="7" w:tplc="A6848F80" w:tentative="1">
      <w:start w:val="1"/>
      <w:numFmt w:val="bullet"/>
      <w:lvlText w:val="o"/>
      <w:lvlJc w:val="left"/>
      <w:pPr>
        <w:ind w:left="5760" w:hanging="360"/>
      </w:pPr>
      <w:rPr>
        <w:rFonts w:ascii="Courier New" w:hAnsi="Courier New" w:cs="Courier New" w:hint="default"/>
      </w:rPr>
    </w:lvl>
    <w:lvl w:ilvl="8" w:tplc="B92A1836" w:tentative="1">
      <w:start w:val="1"/>
      <w:numFmt w:val="bullet"/>
      <w:lvlText w:val=""/>
      <w:lvlJc w:val="left"/>
      <w:pPr>
        <w:ind w:left="6480" w:hanging="360"/>
      </w:pPr>
      <w:rPr>
        <w:rFonts w:ascii="Wingdings" w:hAnsi="Wingdings" w:hint="default"/>
      </w:rPr>
    </w:lvl>
  </w:abstractNum>
  <w:abstractNum w:abstractNumId="22" w15:restartNumberingAfterBreak="0">
    <w:nsid w:val="70A12BED"/>
    <w:multiLevelType w:val="hybridMultilevel"/>
    <w:tmpl w:val="C0AC1C08"/>
    <w:lvl w:ilvl="0" w:tplc="A37C3F28">
      <w:start w:val="3"/>
      <w:numFmt w:val="bullet"/>
      <w:lvlText w:val="-"/>
      <w:lvlJc w:val="left"/>
      <w:pPr>
        <w:ind w:left="720" w:hanging="360"/>
      </w:pPr>
      <w:rPr>
        <w:rFonts w:ascii="Times New Roman" w:eastAsia="Times New Roman" w:hAnsi="Times New Roman" w:cs="Times New Roman" w:hint="default"/>
      </w:rPr>
    </w:lvl>
    <w:lvl w:ilvl="1" w:tplc="4FA01774" w:tentative="1">
      <w:start w:val="1"/>
      <w:numFmt w:val="bullet"/>
      <w:lvlText w:val="o"/>
      <w:lvlJc w:val="left"/>
      <w:pPr>
        <w:ind w:left="1440" w:hanging="360"/>
      </w:pPr>
      <w:rPr>
        <w:rFonts w:ascii="Courier New" w:hAnsi="Courier New" w:cs="Courier New" w:hint="default"/>
      </w:rPr>
    </w:lvl>
    <w:lvl w:ilvl="2" w:tplc="3E62B9DC" w:tentative="1">
      <w:start w:val="1"/>
      <w:numFmt w:val="bullet"/>
      <w:lvlText w:val=""/>
      <w:lvlJc w:val="left"/>
      <w:pPr>
        <w:ind w:left="2160" w:hanging="360"/>
      </w:pPr>
      <w:rPr>
        <w:rFonts w:ascii="Wingdings" w:hAnsi="Wingdings" w:hint="default"/>
      </w:rPr>
    </w:lvl>
    <w:lvl w:ilvl="3" w:tplc="9B28B308" w:tentative="1">
      <w:start w:val="1"/>
      <w:numFmt w:val="bullet"/>
      <w:lvlText w:val=""/>
      <w:lvlJc w:val="left"/>
      <w:pPr>
        <w:ind w:left="2880" w:hanging="360"/>
      </w:pPr>
      <w:rPr>
        <w:rFonts w:ascii="Symbol" w:hAnsi="Symbol" w:hint="default"/>
      </w:rPr>
    </w:lvl>
    <w:lvl w:ilvl="4" w:tplc="E4A06430" w:tentative="1">
      <w:start w:val="1"/>
      <w:numFmt w:val="bullet"/>
      <w:lvlText w:val="o"/>
      <w:lvlJc w:val="left"/>
      <w:pPr>
        <w:ind w:left="3600" w:hanging="360"/>
      </w:pPr>
      <w:rPr>
        <w:rFonts w:ascii="Courier New" w:hAnsi="Courier New" w:cs="Courier New" w:hint="default"/>
      </w:rPr>
    </w:lvl>
    <w:lvl w:ilvl="5" w:tplc="E3966F7A" w:tentative="1">
      <w:start w:val="1"/>
      <w:numFmt w:val="bullet"/>
      <w:lvlText w:val=""/>
      <w:lvlJc w:val="left"/>
      <w:pPr>
        <w:ind w:left="4320" w:hanging="360"/>
      </w:pPr>
      <w:rPr>
        <w:rFonts w:ascii="Wingdings" w:hAnsi="Wingdings" w:hint="default"/>
      </w:rPr>
    </w:lvl>
    <w:lvl w:ilvl="6" w:tplc="217E65C0" w:tentative="1">
      <w:start w:val="1"/>
      <w:numFmt w:val="bullet"/>
      <w:lvlText w:val=""/>
      <w:lvlJc w:val="left"/>
      <w:pPr>
        <w:ind w:left="5040" w:hanging="360"/>
      </w:pPr>
      <w:rPr>
        <w:rFonts w:ascii="Symbol" w:hAnsi="Symbol" w:hint="default"/>
      </w:rPr>
    </w:lvl>
    <w:lvl w:ilvl="7" w:tplc="FEBC3990" w:tentative="1">
      <w:start w:val="1"/>
      <w:numFmt w:val="bullet"/>
      <w:lvlText w:val="o"/>
      <w:lvlJc w:val="left"/>
      <w:pPr>
        <w:ind w:left="5760" w:hanging="360"/>
      </w:pPr>
      <w:rPr>
        <w:rFonts w:ascii="Courier New" w:hAnsi="Courier New" w:cs="Courier New" w:hint="default"/>
      </w:rPr>
    </w:lvl>
    <w:lvl w:ilvl="8" w:tplc="C78CFA3E" w:tentative="1">
      <w:start w:val="1"/>
      <w:numFmt w:val="bullet"/>
      <w:lvlText w:val=""/>
      <w:lvlJc w:val="left"/>
      <w:pPr>
        <w:ind w:left="6480" w:hanging="360"/>
      </w:pPr>
      <w:rPr>
        <w:rFonts w:ascii="Wingdings" w:hAnsi="Wingdings" w:hint="default"/>
      </w:rPr>
    </w:lvl>
  </w:abstractNum>
  <w:abstractNum w:abstractNumId="23" w15:restartNumberingAfterBreak="0">
    <w:nsid w:val="72284A6E"/>
    <w:multiLevelType w:val="hybridMultilevel"/>
    <w:tmpl w:val="B2085A4E"/>
    <w:lvl w:ilvl="0" w:tplc="7932FD8C">
      <w:start w:val="1"/>
      <w:numFmt w:val="upperLetter"/>
      <w:lvlText w:val="%1."/>
      <w:lvlJc w:val="left"/>
      <w:pPr>
        <w:tabs>
          <w:tab w:val="num" w:pos="720"/>
        </w:tabs>
        <w:ind w:left="720" w:hanging="360"/>
      </w:pPr>
      <w:rPr>
        <w:rFonts w:cs="Times New Roman" w:hint="default"/>
        <w:color w:val="auto"/>
      </w:rPr>
    </w:lvl>
    <w:lvl w:ilvl="1" w:tplc="7A7A15CA" w:tentative="1">
      <w:start w:val="1"/>
      <w:numFmt w:val="lowerLetter"/>
      <w:lvlText w:val="%2."/>
      <w:lvlJc w:val="left"/>
      <w:pPr>
        <w:tabs>
          <w:tab w:val="num" w:pos="1440"/>
        </w:tabs>
        <w:ind w:left="1440" w:hanging="360"/>
      </w:pPr>
      <w:rPr>
        <w:rFonts w:cs="Times New Roman"/>
      </w:rPr>
    </w:lvl>
    <w:lvl w:ilvl="2" w:tplc="2E447138" w:tentative="1">
      <w:start w:val="1"/>
      <w:numFmt w:val="lowerRoman"/>
      <w:lvlText w:val="%3."/>
      <w:lvlJc w:val="right"/>
      <w:pPr>
        <w:tabs>
          <w:tab w:val="num" w:pos="2160"/>
        </w:tabs>
        <w:ind w:left="2160" w:hanging="180"/>
      </w:pPr>
      <w:rPr>
        <w:rFonts w:cs="Times New Roman"/>
      </w:rPr>
    </w:lvl>
    <w:lvl w:ilvl="3" w:tplc="F2204FB8" w:tentative="1">
      <w:start w:val="1"/>
      <w:numFmt w:val="decimal"/>
      <w:lvlText w:val="%4."/>
      <w:lvlJc w:val="left"/>
      <w:pPr>
        <w:tabs>
          <w:tab w:val="num" w:pos="2880"/>
        </w:tabs>
        <w:ind w:left="2880" w:hanging="360"/>
      </w:pPr>
      <w:rPr>
        <w:rFonts w:cs="Times New Roman"/>
      </w:rPr>
    </w:lvl>
    <w:lvl w:ilvl="4" w:tplc="C4C2ECA8" w:tentative="1">
      <w:start w:val="1"/>
      <w:numFmt w:val="lowerLetter"/>
      <w:lvlText w:val="%5."/>
      <w:lvlJc w:val="left"/>
      <w:pPr>
        <w:tabs>
          <w:tab w:val="num" w:pos="3600"/>
        </w:tabs>
        <w:ind w:left="3600" w:hanging="360"/>
      </w:pPr>
      <w:rPr>
        <w:rFonts w:cs="Times New Roman"/>
      </w:rPr>
    </w:lvl>
    <w:lvl w:ilvl="5" w:tplc="AA62F29C" w:tentative="1">
      <w:start w:val="1"/>
      <w:numFmt w:val="lowerRoman"/>
      <w:lvlText w:val="%6."/>
      <w:lvlJc w:val="right"/>
      <w:pPr>
        <w:tabs>
          <w:tab w:val="num" w:pos="4320"/>
        </w:tabs>
        <w:ind w:left="4320" w:hanging="180"/>
      </w:pPr>
      <w:rPr>
        <w:rFonts w:cs="Times New Roman"/>
      </w:rPr>
    </w:lvl>
    <w:lvl w:ilvl="6" w:tplc="F6B88FC6" w:tentative="1">
      <w:start w:val="1"/>
      <w:numFmt w:val="decimal"/>
      <w:lvlText w:val="%7."/>
      <w:lvlJc w:val="left"/>
      <w:pPr>
        <w:tabs>
          <w:tab w:val="num" w:pos="5040"/>
        </w:tabs>
        <w:ind w:left="5040" w:hanging="360"/>
      </w:pPr>
      <w:rPr>
        <w:rFonts w:cs="Times New Roman"/>
      </w:rPr>
    </w:lvl>
    <w:lvl w:ilvl="7" w:tplc="10BEC176" w:tentative="1">
      <w:start w:val="1"/>
      <w:numFmt w:val="lowerLetter"/>
      <w:lvlText w:val="%8."/>
      <w:lvlJc w:val="left"/>
      <w:pPr>
        <w:tabs>
          <w:tab w:val="num" w:pos="5760"/>
        </w:tabs>
        <w:ind w:left="5760" w:hanging="360"/>
      </w:pPr>
      <w:rPr>
        <w:rFonts w:cs="Times New Roman"/>
      </w:rPr>
    </w:lvl>
    <w:lvl w:ilvl="8" w:tplc="42483C9A" w:tentative="1">
      <w:start w:val="1"/>
      <w:numFmt w:val="lowerRoman"/>
      <w:lvlText w:val="%9."/>
      <w:lvlJc w:val="right"/>
      <w:pPr>
        <w:tabs>
          <w:tab w:val="num" w:pos="6480"/>
        </w:tabs>
        <w:ind w:left="6480" w:hanging="180"/>
      </w:pPr>
      <w:rPr>
        <w:rFonts w:cs="Times New Roman"/>
      </w:rPr>
    </w:lvl>
  </w:abstractNum>
  <w:abstractNum w:abstractNumId="24" w15:restartNumberingAfterBreak="0">
    <w:nsid w:val="7B135529"/>
    <w:multiLevelType w:val="hybridMultilevel"/>
    <w:tmpl w:val="E5FCB35E"/>
    <w:lvl w:ilvl="0" w:tplc="20C0DE4E">
      <w:start w:val="1"/>
      <w:numFmt w:val="none"/>
      <w:pStyle w:val="Question"/>
      <w:lvlText w:val="Q."/>
      <w:lvlJc w:val="left"/>
      <w:pPr>
        <w:tabs>
          <w:tab w:val="num" w:pos="1080"/>
        </w:tabs>
        <w:ind w:left="1440" w:hanging="720"/>
      </w:pPr>
      <w:rPr>
        <w:rFonts w:cs="Times New Roman" w:hint="default"/>
        <w:b/>
        <w:i w:val="0"/>
        <w:caps/>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5" w15:restartNumberingAfterBreak="0">
    <w:nsid w:val="7BA84084"/>
    <w:multiLevelType w:val="hybridMultilevel"/>
    <w:tmpl w:val="8A6CC7A2"/>
    <w:lvl w:ilvl="0" w:tplc="93DCFD08">
      <w:start w:val="3"/>
      <w:numFmt w:val="bullet"/>
      <w:lvlText w:val="-"/>
      <w:lvlJc w:val="left"/>
      <w:pPr>
        <w:ind w:left="720" w:hanging="360"/>
      </w:pPr>
      <w:rPr>
        <w:rFonts w:ascii="Times New Roman" w:eastAsia="Times New Roman" w:hAnsi="Times New Roman" w:cs="Times New Roman" w:hint="default"/>
      </w:rPr>
    </w:lvl>
    <w:lvl w:ilvl="1" w:tplc="CE2025FC" w:tentative="1">
      <w:start w:val="1"/>
      <w:numFmt w:val="bullet"/>
      <w:lvlText w:val="o"/>
      <w:lvlJc w:val="left"/>
      <w:pPr>
        <w:ind w:left="1440" w:hanging="360"/>
      </w:pPr>
      <w:rPr>
        <w:rFonts w:ascii="Courier New" w:hAnsi="Courier New" w:cs="Courier New" w:hint="default"/>
      </w:rPr>
    </w:lvl>
    <w:lvl w:ilvl="2" w:tplc="8E528A22" w:tentative="1">
      <w:start w:val="1"/>
      <w:numFmt w:val="bullet"/>
      <w:lvlText w:val=""/>
      <w:lvlJc w:val="left"/>
      <w:pPr>
        <w:ind w:left="2160" w:hanging="360"/>
      </w:pPr>
      <w:rPr>
        <w:rFonts w:ascii="Wingdings" w:hAnsi="Wingdings" w:hint="default"/>
      </w:rPr>
    </w:lvl>
    <w:lvl w:ilvl="3" w:tplc="A852D644" w:tentative="1">
      <w:start w:val="1"/>
      <w:numFmt w:val="bullet"/>
      <w:lvlText w:val=""/>
      <w:lvlJc w:val="left"/>
      <w:pPr>
        <w:ind w:left="2880" w:hanging="360"/>
      </w:pPr>
      <w:rPr>
        <w:rFonts w:ascii="Symbol" w:hAnsi="Symbol" w:hint="default"/>
      </w:rPr>
    </w:lvl>
    <w:lvl w:ilvl="4" w:tplc="A204FECA" w:tentative="1">
      <w:start w:val="1"/>
      <w:numFmt w:val="bullet"/>
      <w:lvlText w:val="o"/>
      <w:lvlJc w:val="left"/>
      <w:pPr>
        <w:ind w:left="3600" w:hanging="360"/>
      </w:pPr>
      <w:rPr>
        <w:rFonts w:ascii="Courier New" w:hAnsi="Courier New" w:cs="Courier New" w:hint="default"/>
      </w:rPr>
    </w:lvl>
    <w:lvl w:ilvl="5" w:tplc="24C297B4" w:tentative="1">
      <w:start w:val="1"/>
      <w:numFmt w:val="bullet"/>
      <w:lvlText w:val=""/>
      <w:lvlJc w:val="left"/>
      <w:pPr>
        <w:ind w:left="4320" w:hanging="360"/>
      </w:pPr>
      <w:rPr>
        <w:rFonts w:ascii="Wingdings" w:hAnsi="Wingdings" w:hint="default"/>
      </w:rPr>
    </w:lvl>
    <w:lvl w:ilvl="6" w:tplc="3F1C790A" w:tentative="1">
      <w:start w:val="1"/>
      <w:numFmt w:val="bullet"/>
      <w:lvlText w:val=""/>
      <w:lvlJc w:val="left"/>
      <w:pPr>
        <w:ind w:left="5040" w:hanging="360"/>
      </w:pPr>
      <w:rPr>
        <w:rFonts w:ascii="Symbol" w:hAnsi="Symbol" w:hint="default"/>
      </w:rPr>
    </w:lvl>
    <w:lvl w:ilvl="7" w:tplc="016A7818" w:tentative="1">
      <w:start w:val="1"/>
      <w:numFmt w:val="bullet"/>
      <w:lvlText w:val="o"/>
      <w:lvlJc w:val="left"/>
      <w:pPr>
        <w:ind w:left="5760" w:hanging="360"/>
      </w:pPr>
      <w:rPr>
        <w:rFonts w:ascii="Courier New" w:hAnsi="Courier New" w:cs="Courier New" w:hint="default"/>
      </w:rPr>
    </w:lvl>
    <w:lvl w:ilvl="8" w:tplc="8E3E5890"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2"/>
  </w:num>
  <w:num w:numId="4">
    <w:abstractNumId w:val="4"/>
  </w:num>
  <w:num w:numId="5">
    <w:abstractNumId w:val="0"/>
  </w:num>
  <w:num w:numId="6">
    <w:abstractNumId w:val="7"/>
  </w:num>
  <w:num w:numId="7">
    <w:abstractNumId w:val="23"/>
  </w:num>
  <w:num w:numId="8">
    <w:abstractNumId w:val="6"/>
  </w:num>
  <w:num w:numId="9">
    <w:abstractNumId w:val="19"/>
  </w:num>
  <w:num w:numId="10">
    <w:abstractNumId w:val="8"/>
  </w:num>
  <w:num w:numId="11">
    <w:abstractNumId w:val="20"/>
  </w:num>
  <w:num w:numId="12">
    <w:abstractNumId w:val="18"/>
  </w:num>
  <w:num w:numId="13">
    <w:abstractNumId w:val="1"/>
  </w:num>
  <w:num w:numId="14">
    <w:abstractNumId w:val="3"/>
  </w:num>
  <w:num w:numId="15">
    <w:abstractNumId w:val="9"/>
  </w:num>
  <w:num w:numId="16">
    <w:abstractNumId w:val="11"/>
  </w:num>
  <w:num w:numId="17">
    <w:abstractNumId w:val="10"/>
  </w:num>
  <w:num w:numId="18">
    <w:abstractNumId w:val="12"/>
  </w:num>
  <w:num w:numId="19">
    <w:abstractNumId w:val="21"/>
  </w:num>
  <w:num w:numId="20">
    <w:abstractNumId w:val="25"/>
  </w:num>
  <w:num w:numId="21">
    <w:abstractNumId w:val="14"/>
  </w:num>
  <w:num w:numId="22">
    <w:abstractNumId w:val="16"/>
  </w:num>
  <w:num w:numId="23">
    <w:abstractNumId w:val="22"/>
  </w:num>
  <w:num w:numId="24">
    <w:abstractNumId w:val="5"/>
  </w:num>
  <w:num w:numId="25">
    <w:abstractNumId w:val="24"/>
  </w:num>
  <w:num w:numId="26">
    <w:abstractNumId w:val="15"/>
  </w:num>
  <w:num w:numId="27">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40636755"/>
    <w:docVar w:name="MPDocIDTemplate" w:val="%l| %n|v%v| %c|.%m"/>
    <w:docVar w:name="MPDocIDTemplateDefault" w:val="%l| %n|v%v| %c|.%m"/>
    <w:docVar w:name="NewDocStampType" w:val="7"/>
    <w:docVar w:name="zzmpTrailerDateFormat" w:val="0"/>
  </w:docVars>
  <w:rsids>
    <w:rsidRoot w:val="003A59E4"/>
    <w:rsid w:val="00005151"/>
    <w:rsid w:val="00006B88"/>
    <w:rsid w:val="00007D5D"/>
    <w:rsid w:val="000353B0"/>
    <w:rsid w:val="00061F01"/>
    <w:rsid w:val="0008069A"/>
    <w:rsid w:val="00086E53"/>
    <w:rsid w:val="0009160E"/>
    <w:rsid w:val="0009228C"/>
    <w:rsid w:val="000971F8"/>
    <w:rsid w:val="000B36B3"/>
    <w:rsid w:val="000B3D94"/>
    <w:rsid w:val="000B6EA3"/>
    <w:rsid w:val="000B7F0B"/>
    <w:rsid w:val="000D02E6"/>
    <w:rsid w:val="000D0493"/>
    <w:rsid w:val="000D07C2"/>
    <w:rsid w:val="000E7D6A"/>
    <w:rsid w:val="000F7BA9"/>
    <w:rsid w:val="00103534"/>
    <w:rsid w:val="00104CFB"/>
    <w:rsid w:val="00105F91"/>
    <w:rsid w:val="00107668"/>
    <w:rsid w:val="0011634B"/>
    <w:rsid w:val="00120DA7"/>
    <w:rsid w:val="0012214B"/>
    <w:rsid w:val="001412EE"/>
    <w:rsid w:val="00141F5A"/>
    <w:rsid w:val="001469B5"/>
    <w:rsid w:val="001543F0"/>
    <w:rsid w:val="001552A8"/>
    <w:rsid w:val="001637AA"/>
    <w:rsid w:val="00171EB2"/>
    <w:rsid w:val="0017490C"/>
    <w:rsid w:val="00177A39"/>
    <w:rsid w:val="0018130A"/>
    <w:rsid w:val="00183B1F"/>
    <w:rsid w:val="00183C9B"/>
    <w:rsid w:val="00187826"/>
    <w:rsid w:val="001A3F81"/>
    <w:rsid w:val="001B172F"/>
    <w:rsid w:val="001C345E"/>
    <w:rsid w:val="001D62D4"/>
    <w:rsid w:val="001D6C2B"/>
    <w:rsid w:val="001E1A04"/>
    <w:rsid w:val="001F3DEE"/>
    <w:rsid w:val="001F42E5"/>
    <w:rsid w:val="001F600C"/>
    <w:rsid w:val="001F6437"/>
    <w:rsid w:val="00200A3C"/>
    <w:rsid w:val="00204AB0"/>
    <w:rsid w:val="002207BA"/>
    <w:rsid w:val="0022129E"/>
    <w:rsid w:val="0022782C"/>
    <w:rsid w:val="00230729"/>
    <w:rsid w:val="00243D28"/>
    <w:rsid w:val="002511AD"/>
    <w:rsid w:val="00255BAB"/>
    <w:rsid w:val="00266979"/>
    <w:rsid w:val="00277F42"/>
    <w:rsid w:val="002838D8"/>
    <w:rsid w:val="00284D95"/>
    <w:rsid w:val="00295A73"/>
    <w:rsid w:val="00295EE8"/>
    <w:rsid w:val="002A61F8"/>
    <w:rsid w:val="002A710F"/>
    <w:rsid w:val="002B2829"/>
    <w:rsid w:val="002B4C9F"/>
    <w:rsid w:val="002F1DB6"/>
    <w:rsid w:val="002F623A"/>
    <w:rsid w:val="00315C66"/>
    <w:rsid w:val="003168E5"/>
    <w:rsid w:val="00317B72"/>
    <w:rsid w:val="00321ABF"/>
    <w:rsid w:val="003436F2"/>
    <w:rsid w:val="00344D57"/>
    <w:rsid w:val="0035085F"/>
    <w:rsid w:val="0035183E"/>
    <w:rsid w:val="003532EA"/>
    <w:rsid w:val="00353C33"/>
    <w:rsid w:val="003566B3"/>
    <w:rsid w:val="00357860"/>
    <w:rsid w:val="003604FF"/>
    <w:rsid w:val="00360BCF"/>
    <w:rsid w:val="00361A60"/>
    <w:rsid w:val="00372E9E"/>
    <w:rsid w:val="00383AF3"/>
    <w:rsid w:val="00387E95"/>
    <w:rsid w:val="00393B10"/>
    <w:rsid w:val="003946EB"/>
    <w:rsid w:val="003A31FC"/>
    <w:rsid w:val="003A59E4"/>
    <w:rsid w:val="003B1A77"/>
    <w:rsid w:val="003B1CCD"/>
    <w:rsid w:val="003B208E"/>
    <w:rsid w:val="003C2C9A"/>
    <w:rsid w:val="003C3268"/>
    <w:rsid w:val="003C448F"/>
    <w:rsid w:val="003D6B01"/>
    <w:rsid w:val="003F7D6E"/>
    <w:rsid w:val="00402A17"/>
    <w:rsid w:val="00445408"/>
    <w:rsid w:val="00445622"/>
    <w:rsid w:val="00454778"/>
    <w:rsid w:val="004640C4"/>
    <w:rsid w:val="0046696B"/>
    <w:rsid w:val="00470AB4"/>
    <w:rsid w:val="00471110"/>
    <w:rsid w:val="0047222F"/>
    <w:rsid w:val="004979EE"/>
    <w:rsid w:val="004A3D96"/>
    <w:rsid w:val="004B01DB"/>
    <w:rsid w:val="004B2BFB"/>
    <w:rsid w:val="004B7F55"/>
    <w:rsid w:val="004C271E"/>
    <w:rsid w:val="004E27DD"/>
    <w:rsid w:val="004F07FF"/>
    <w:rsid w:val="004F6232"/>
    <w:rsid w:val="00502FA2"/>
    <w:rsid w:val="005041F2"/>
    <w:rsid w:val="00514AB6"/>
    <w:rsid w:val="00520300"/>
    <w:rsid w:val="0052234E"/>
    <w:rsid w:val="005231C2"/>
    <w:rsid w:val="00523903"/>
    <w:rsid w:val="00542475"/>
    <w:rsid w:val="005449A7"/>
    <w:rsid w:val="00545212"/>
    <w:rsid w:val="00551B6E"/>
    <w:rsid w:val="0055473D"/>
    <w:rsid w:val="00560005"/>
    <w:rsid w:val="00561C0F"/>
    <w:rsid w:val="00567FC6"/>
    <w:rsid w:val="005711DF"/>
    <w:rsid w:val="005817D1"/>
    <w:rsid w:val="005960FA"/>
    <w:rsid w:val="005A5C40"/>
    <w:rsid w:val="005A7DD6"/>
    <w:rsid w:val="005B0912"/>
    <w:rsid w:val="005B2B74"/>
    <w:rsid w:val="005C4DBB"/>
    <w:rsid w:val="005D28FD"/>
    <w:rsid w:val="005D3095"/>
    <w:rsid w:val="005E0B4A"/>
    <w:rsid w:val="005F06C3"/>
    <w:rsid w:val="00611C00"/>
    <w:rsid w:val="00611CA6"/>
    <w:rsid w:val="006127A4"/>
    <w:rsid w:val="00613634"/>
    <w:rsid w:val="006210E6"/>
    <w:rsid w:val="00625A50"/>
    <w:rsid w:val="00627699"/>
    <w:rsid w:val="00634810"/>
    <w:rsid w:val="00647807"/>
    <w:rsid w:val="00652807"/>
    <w:rsid w:val="006578E8"/>
    <w:rsid w:val="006645DA"/>
    <w:rsid w:val="0066521A"/>
    <w:rsid w:val="006652C3"/>
    <w:rsid w:val="00672C2A"/>
    <w:rsid w:val="00684F82"/>
    <w:rsid w:val="0069351D"/>
    <w:rsid w:val="006A19EC"/>
    <w:rsid w:val="006A25B4"/>
    <w:rsid w:val="006B1170"/>
    <w:rsid w:val="006B276B"/>
    <w:rsid w:val="006B3921"/>
    <w:rsid w:val="006B3A91"/>
    <w:rsid w:val="006C7A82"/>
    <w:rsid w:val="006D010B"/>
    <w:rsid w:val="006E1551"/>
    <w:rsid w:val="006E4175"/>
    <w:rsid w:val="006E4768"/>
    <w:rsid w:val="006E7830"/>
    <w:rsid w:val="00701BCE"/>
    <w:rsid w:val="0070282B"/>
    <w:rsid w:val="00704652"/>
    <w:rsid w:val="00723BAE"/>
    <w:rsid w:val="00724E12"/>
    <w:rsid w:val="007269A0"/>
    <w:rsid w:val="00726FB0"/>
    <w:rsid w:val="00730B24"/>
    <w:rsid w:val="00732C0B"/>
    <w:rsid w:val="00741C18"/>
    <w:rsid w:val="0074539C"/>
    <w:rsid w:val="007453DE"/>
    <w:rsid w:val="00745734"/>
    <w:rsid w:val="00754233"/>
    <w:rsid w:val="007572B0"/>
    <w:rsid w:val="007924FF"/>
    <w:rsid w:val="00794E25"/>
    <w:rsid w:val="00795E00"/>
    <w:rsid w:val="007A0776"/>
    <w:rsid w:val="007C575A"/>
    <w:rsid w:val="007D5C8B"/>
    <w:rsid w:val="007E465D"/>
    <w:rsid w:val="007F1526"/>
    <w:rsid w:val="007F452A"/>
    <w:rsid w:val="007F6729"/>
    <w:rsid w:val="00805C58"/>
    <w:rsid w:val="008231BA"/>
    <w:rsid w:val="008514BC"/>
    <w:rsid w:val="0086466E"/>
    <w:rsid w:val="00871FBD"/>
    <w:rsid w:val="0087592F"/>
    <w:rsid w:val="00875C6E"/>
    <w:rsid w:val="00886475"/>
    <w:rsid w:val="00886EB8"/>
    <w:rsid w:val="008A1921"/>
    <w:rsid w:val="008A1FC2"/>
    <w:rsid w:val="008C7FD6"/>
    <w:rsid w:val="008D7144"/>
    <w:rsid w:val="008F574F"/>
    <w:rsid w:val="00917E5F"/>
    <w:rsid w:val="00917EBD"/>
    <w:rsid w:val="00923A1E"/>
    <w:rsid w:val="009276A0"/>
    <w:rsid w:val="00931F9E"/>
    <w:rsid w:val="00932978"/>
    <w:rsid w:val="009521DA"/>
    <w:rsid w:val="00954200"/>
    <w:rsid w:val="009554D8"/>
    <w:rsid w:val="0096053F"/>
    <w:rsid w:val="009646BF"/>
    <w:rsid w:val="00980929"/>
    <w:rsid w:val="00983AB2"/>
    <w:rsid w:val="00985454"/>
    <w:rsid w:val="009A0DAB"/>
    <w:rsid w:val="009A15C6"/>
    <w:rsid w:val="009A2082"/>
    <w:rsid w:val="009A232E"/>
    <w:rsid w:val="009A3102"/>
    <w:rsid w:val="009A5FF7"/>
    <w:rsid w:val="009A6A5B"/>
    <w:rsid w:val="009B206A"/>
    <w:rsid w:val="009C1FC4"/>
    <w:rsid w:val="009C2D05"/>
    <w:rsid w:val="009C77AB"/>
    <w:rsid w:val="009D0716"/>
    <w:rsid w:val="009F50B3"/>
    <w:rsid w:val="00A11786"/>
    <w:rsid w:val="00A15DB7"/>
    <w:rsid w:val="00A1717A"/>
    <w:rsid w:val="00A22D99"/>
    <w:rsid w:val="00A37182"/>
    <w:rsid w:val="00A467B0"/>
    <w:rsid w:val="00A57DFC"/>
    <w:rsid w:val="00A61785"/>
    <w:rsid w:val="00A674D6"/>
    <w:rsid w:val="00A70116"/>
    <w:rsid w:val="00A71C54"/>
    <w:rsid w:val="00A73E0A"/>
    <w:rsid w:val="00A77A44"/>
    <w:rsid w:val="00A80154"/>
    <w:rsid w:val="00A81274"/>
    <w:rsid w:val="00A83D8C"/>
    <w:rsid w:val="00A84B06"/>
    <w:rsid w:val="00A85ACD"/>
    <w:rsid w:val="00A87AC3"/>
    <w:rsid w:val="00A90D2F"/>
    <w:rsid w:val="00A96048"/>
    <w:rsid w:val="00AA045A"/>
    <w:rsid w:val="00AA2B10"/>
    <w:rsid w:val="00AB4094"/>
    <w:rsid w:val="00AB5D34"/>
    <w:rsid w:val="00AB7ACF"/>
    <w:rsid w:val="00AC0577"/>
    <w:rsid w:val="00AC6A90"/>
    <w:rsid w:val="00AC72CF"/>
    <w:rsid w:val="00AD36ED"/>
    <w:rsid w:val="00AD7118"/>
    <w:rsid w:val="00AE3B25"/>
    <w:rsid w:val="00AF07AA"/>
    <w:rsid w:val="00AF4386"/>
    <w:rsid w:val="00AF5AD9"/>
    <w:rsid w:val="00AF6896"/>
    <w:rsid w:val="00B00D44"/>
    <w:rsid w:val="00B06389"/>
    <w:rsid w:val="00B126EC"/>
    <w:rsid w:val="00B258D7"/>
    <w:rsid w:val="00B26EE7"/>
    <w:rsid w:val="00B35385"/>
    <w:rsid w:val="00B37812"/>
    <w:rsid w:val="00B60B76"/>
    <w:rsid w:val="00B61328"/>
    <w:rsid w:val="00B63F54"/>
    <w:rsid w:val="00B724E5"/>
    <w:rsid w:val="00B76FEF"/>
    <w:rsid w:val="00B9236B"/>
    <w:rsid w:val="00B976FD"/>
    <w:rsid w:val="00BA5823"/>
    <w:rsid w:val="00BB09CC"/>
    <w:rsid w:val="00BC0C0B"/>
    <w:rsid w:val="00BC3773"/>
    <w:rsid w:val="00BD1E26"/>
    <w:rsid w:val="00BD2E69"/>
    <w:rsid w:val="00BE1597"/>
    <w:rsid w:val="00BE1A43"/>
    <w:rsid w:val="00C03F8C"/>
    <w:rsid w:val="00C162D9"/>
    <w:rsid w:val="00C20A7B"/>
    <w:rsid w:val="00C21CE2"/>
    <w:rsid w:val="00C235BC"/>
    <w:rsid w:val="00C24C2E"/>
    <w:rsid w:val="00C47EBA"/>
    <w:rsid w:val="00C62EB8"/>
    <w:rsid w:val="00C876DD"/>
    <w:rsid w:val="00CA1D4A"/>
    <w:rsid w:val="00CA6EB4"/>
    <w:rsid w:val="00CB3BDD"/>
    <w:rsid w:val="00CB571A"/>
    <w:rsid w:val="00CC780D"/>
    <w:rsid w:val="00CD21F3"/>
    <w:rsid w:val="00CE0925"/>
    <w:rsid w:val="00CE0FCD"/>
    <w:rsid w:val="00CE62E4"/>
    <w:rsid w:val="00CF60DD"/>
    <w:rsid w:val="00D06AA6"/>
    <w:rsid w:val="00D14604"/>
    <w:rsid w:val="00D4087A"/>
    <w:rsid w:val="00D51513"/>
    <w:rsid w:val="00D555FC"/>
    <w:rsid w:val="00D559A5"/>
    <w:rsid w:val="00D7452E"/>
    <w:rsid w:val="00D75BF2"/>
    <w:rsid w:val="00D826AF"/>
    <w:rsid w:val="00D945DE"/>
    <w:rsid w:val="00DA29DB"/>
    <w:rsid w:val="00DB41D5"/>
    <w:rsid w:val="00DC6084"/>
    <w:rsid w:val="00DD11FE"/>
    <w:rsid w:val="00DE0539"/>
    <w:rsid w:val="00DF4821"/>
    <w:rsid w:val="00E00005"/>
    <w:rsid w:val="00E163E9"/>
    <w:rsid w:val="00E17E9B"/>
    <w:rsid w:val="00E215B8"/>
    <w:rsid w:val="00E22A85"/>
    <w:rsid w:val="00E25675"/>
    <w:rsid w:val="00E27779"/>
    <w:rsid w:val="00E4016D"/>
    <w:rsid w:val="00E46C7A"/>
    <w:rsid w:val="00E561F4"/>
    <w:rsid w:val="00E56669"/>
    <w:rsid w:val="00E622EE"/>
    <w:rsid w:val="00E676D1"/>
    <w:rsid w:val="00E7156A"/>
    <w:rsid w:val="00E72CFA"/>
    <w:rsid w:val="00E76F65"/>
    <w:rsid w:val="00E77A32"/>
    <w:rsid w:val="00E800E7"/>
    <w:rsid w:val="00EA4BDA"/>
    <w:rsid w:val="00EA656B"/>
    <w:rsid w:val="00EA6B9B"/>
    <w:rsid w:val="00EC1220"/>
    <w:rsid w:val="00EC1EAF"/>
    <w:rsid w:val="00EC7FEE"/>
    <w:rsid w:val="00ED2958"/>
    <w:rsid w:val="00ED6B19"/>
    <w:rsid w:val="00EE475E"/>
    <w:rsid w:val="00EF29E7"/>
    <w:rsid w:val="00F06B2B"/>
    <w:rsid w:val="00F0734C"/>
    <w:rsid w:val="00F07A65"/>
    <w:rsid w:val="00F474B6"/>
    <w:rsid w:val="00F5394A"/>
    <w:rsid w:val="00F620D8"/>
    <w:rsid w:val="00F67375"/>
    <w:rsid w:val="00F761E5"/>
    <w:rsid w:val="00F8029F"/>
    <w:rsid w:val="00F806BE"/>
    <w:rsid w:val="00F86638"/>
    <w:rsid w:val="00F90FDA"/>
    <w:rsid w:val="00FA3D90"/>
    <w:rsid w:val="00FA6F1D"/>
    <w:rsid w:val="00FA77DC"/>
    <w:rsid w:val="00FB0265"/>
    <w:rsid w:val="00FD3143"/>
    <w:rsid w:val="00FD4806"/>
    <w:rsid w:val="00FD61F6"/>
    <w:rsid w:val="00FE1D05"/>
    <w:rsid w:val="00FE7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90F177"/>
  <w15:docId w15:val="{667160D6-6A0A-40B7-ABFD-C9260D128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6465"/>
    <w:pPr>
      <w:widowControl w:val="0"/>
    </w:pPr>
  </w:style>
  <w:style w:type="paragraph" w:styleId="Heading1">
    <w:name w:val="heading 1"/>
    <w:basedOn w:val="Normal"/>
    <w:next w:val="Normal"/>
    <w:qFormat/>
    <w:rsid w:val="00D96465"/>
    <w:pPr>
      <w:keepNext/>
      <w:numPr>
        <w:numId w:val="1"/>
      </w:numPr>
      <w:tabs>
        <w:tab w:val="left" w:pos="720"/>
      </w:tabs>
      <w:spacing w:line="360" w:lineRule="auto"/>
      <w:jc w:val="both"/>
      <w:outlineLvl w:val="0"/>
    </w:pPr>
    <w:rPr>
      <w:b/>
      <w:sz w:val="24"/>
    </w:rPr>
  </w:style>
  <w:style w:type="paragraph" w:styleId="Heading2">
    <w:name w:val="heading 2"/>
    <w:basedOn w:val="Normal"/>
    <w:next w:val="Normal"/>
    <w:qFormat/>
    <w:rsid w:val="00D96465"/>
    <w:pPr>
      <w:keepNext/>
      <w:spacing w:line="360" w:lineRule="auto"/>
      <w:jc w:val="both"/>
      <w:outlineLvl w:val="1"/>
    </w:pPr>
    <w:rPr>
      <w:sz w:val="24"/>
      <w:u w:val="single"/>
    </w:rPr>
  </w:style>
  <w:style w:type="paragraph" w:styleId="Heading3">
    <w:name w:val="heading 3"/>
    <w:basedOn w:val="Normal"/>
    <w:next w:val="Normal"/>
    <w:qFormat/>
    <w:rsid w:val="00D96465"/>
    <w:pPr>
      <w:keepNext/>
      <w:spacing w:line="360" w:lineRule="auto"/>
      <w:outlineLvl w:val="2"/>
    </w:pPr>
    <w:rPr>
      <w:sz w:val="24"/>
    </w:rPr>
  </w:style>
  <w:style w:type="paragraph" w:styleId="Heading4">
    <w:name w:val="heading 4"/>
    <w:basedOn w:val="Normal"/>
    <w:next w:val="Normal"/>
    <w:qFormat/>
    <w:rsid w:val="00D96465"/>
    <w:pPr>
      <w:keepNext/>
      <w:numPr>
        <w:numId w:val="3"/>
      </w:numPr>
      <w:tabs>
        <w:tab w:val="clear" w:pos="360"/>
        <w:tab w:val="num" w:pos="1080"/>
      </w:tabs>
      <w:spacing w:line="360" w:lineRule="auto"/>
      <w:ind w:left="720" w:hanging="720"/>
      <w:outlineLvl w:val="3"/>
    </w:pPr>
    <w:rPr>
      <w:sz w:val="24"/>
    </w:rPr>
  </w:style>
  <w:style w:type="paragraph" w:styleId="Heading5">
    <w:name w:val="heading 5"/>
    <w:basedOn w:val="Normal"/>
    <w:next w:val="Normal"/>
    <w:qFormat/>
    <w:rsid w:val="00D96465"/>
    <w:pPr>
      <w:keepNext/>
      <w:numPr>
        <w:numId w:val="4"/>
      </w:numPr>
      <w:tabs>
        <w:tab w:val="clear" w:pos="360"/>
        <w:tab w:val="num" w:pos="1080"/>
      </w:tabs>
      <w:spacing w:line="360" w:lineRule="auto"/>
      <w:ind w:left="1080"/>
      <w:jc w:val="both"/>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96465"/>
    <w:pPr>
      <w:spacing w:line="360" w:lineRule="auto"/>
      <w:jc w:val="both"/>
    </w:pPr>
    <w:rPr>
      <w:sz w:val="24"/>
    </w:rPr>
  </w:style>
  <w:style w:type="paragraph" w:styleId="BodyText">
    <w:name w:val="Body Text"/>
    <w:basedOn w:val="Normal"/>
    <w:rsid w:val="00D96465"/>
    <w:pPr>
      <w:spacing w:line="360" w:lineRule="atLeast"/>
      <w:jc w:val="both"/>
    </w:pPr>
    <w:rPr>
      <w:rFonts w:ascii="Arial" w:hAnsi="Arial"/>
      <w:color w:val="800080"/>
      <w:sz w:val="24"/>
    </w:rPr>
  </w:style>
  <w:style w:type="paragraph" w:styleId="Title">
    <w:name w:val="Title"/>
    <w:basedOn w:val="Normal"/>
    <w:qFormat/>
    <w:rsid w:val="00D96465"/>
    <w:pPr>
      <w:spacing w:line="360" w:lineRule="auto"/>
      <w:ind w:right="-180"/>
      <w:jc w:val="center"/>
    </w:pPr>
    <w:rPr>
      <w:b/>
      <w:sz w:val="24"/>
    </w:rPr>
  </w:style>
  <w:style w:type="paragraph" w:styleId="Footer">
    <w:name w:val="footer"/>
    <w:basedOn w:val="Normal"/>
    <w:link w:val="FooterChar"/>
    <w:uiPriority w:val="99"/>
    <w:rsid w:val="00D96465"/>
    <w:pPr>
      <w:tabs>
        <w:tab w:val="center" w:pos="4320"/>
        <w:tab w:val="right" w:pos="8640"/>
      </w:tabs>
    </w:pPr>
  </w:style>
  <w:style w:type="character" w:styleId="PageNumber">
    <w:name w:val="page number"/>
    <w:basedOn w:val="DefaultParagraphFont"/>
    <w:rsid w:val="00D96465"/>
    <w:rPr>
      <w:rFonts w:cs="Times New Roman"/>
      <w:sz w:val="20"/>
    </w:rPr>
  </w:style>
  <w:style w:type="character" w:styleId="LineNumber">
    <w:name w:val="line number"/>
    <w:basedOn w:val="DefaultParagraphFont"/>
    <w:rsid w:val="00D96465"/>
    <w:rPr>
      <w:rFonts w:cs="Times New Roman"/>
      <w:sz w:val="20"/>
    </w:rPr>
  </w:style>
  <w:style w:type="paragraph" w:styleId="DocumentMap">
    <w:name w:val="Document Map"/>
    <w:basedOn w:val="Normal"/>
    <w:semiHidden/>
    <w:rsid w:val="00D96465"/>
    <w:pPr>
      <w:shd w:val="clear" w:color="auto" w:fill="000080"/>
    </w:pPr>
    <w:rPr>
      <w:rFonts w:ascii="Tahoma" w:hAnsi="Tahoma"/>
    </w:rPr>
  </w:style>
  <w:style w:type="paragraph" w:styleId="BodyTextIndent2">
    <w:name w:val="Body Text Indent 2"/>
    <w:basedOn w:val="Normal"/>
    <w:rsid w:val="00D96465"/>
    <w:pPr>
      <w:tabs>
        <w:tab w:val="left" w:pos="720"/>
      </w:tabs>
      <w:spacing w:line="360" w:lineRule="auto"/>
      <w:ind w:left="720" w:hanging="720"/>
      <w:jc w:val="both"/>
    </w:pPr>
    <w:rPr>
      <w:b/>
      <w:sz w:val="24"/>
    </w:rPr>
  </w:style>
  <w:style w:type="paragraph" w:styleId="BodyTextIndent3">
    <w:name w:val="Body Text Indent 3"/>
    <w:basedOn w:val="Normal"/>
    <w:rsid w:val="00D96465"/>
    <w:pPr>
      <w:spacing w:line="360" w:lineRule="auto"/>
      <w:ind w:left="720"/>
      <w:jc w:val="both"/>
    </w:pPr>
    <w:rPr>
      <w:sz w:val="24"/>
    </w:rPr>
  </w:style>
  <w:style w:type="paragraph" w:styleId="Header">
    <w:name w:val="header"/>
    <w:basedOn w:val="Normal"/>
    <w:rsid w:val="00D96465"/>
    <w:pPr>
      <w:tabs>
        <w:tab w:val="center" w:pos="4320"/>
        <w:tab w:val="right" w:pos="8640"/>
      </w:tabs>
    </w:pPr>
  </w:style>
  <w:style w:type="paragraph" w:styleId="BalloonText">
    <w:name w:val="Balloon Text"/>
    <w:basedOn w:val="Normal"/>
    <w:link w:val="BalloonTextChar"/>
    <w:semiHidden/>
    <w:rsid w:val="00D96465"/>
    <w:rPr>
      <w:rFonts w:ascii="Tahoma" w:hAnsi="Tahoma" w:cs="Tahoma"/>
      <w:sz w:val="16"/>
      <w:szCs w:val="16"/>
    </w:rPr>
  </w:style>
  <w:style w:type="character" w:customStyle="1" w:styleId="BodyTextIndentChar">
    <w:name w:val="Body Text Indent Char"/>
    <w:basedOn w:val="DefaultParagraphFont"/>
    <w:link w:val="BodyTextIndent"/>
    <w:rsid w:val="00D96465"/>
    <w:rPr>
      <w:rFonts w:cs="Times New Roman"/>
      <w:sz w:val="24"/>
      <w:lang w:val="en-US" w:eastAsia="en-US" w:bidi="ar-SA"/>
    </w:rPr>
  </w:style>
  <w:style w:type="paragraph" w:styleId="FootnoteText">
    <w:name w:val="footnote text"/>
    <w:basedOn w:val="Normal"/>
    <w:semiHidden/>
    <w:rsid w:val="00D96465"/>
    <w:pPr>
      <w:widowControl/>
    </w:pPr>
  </w:style>
  <w:style w:type="character" w:styleId="FootnoteReference">
    <w:name w:val="footnote reference"/>
    <w:basedOn w:val="DefaultParagraphFont"/>
    <w:semiHidden/>
    <w:rsid w:val="00D96465"/>
    <w:rPr>
      <w:rFonts w:cs="Times New Roman"/>
      <w:vertAlign w:val="superscript"/>
    </w:rPr>
  </w:style>
  <w:style w:type="paragraph" w:styleId="ListParagraph">
    <w:name w:val="List Paragraph"/>
    <w:basedOn w:val="Normal"/>
    <w:uiPriority w:val="34"/>
    <w:qFormat/>
    <w:rsid w:val="00E466FB"/>
    <w:pPr>
      <w:ind w:left="720"/>
      <w:contextualSpacing/>
    </w:pPr>
  </w:style>
  <w:style w:type="character" w:customStyle="1" w:styleId="zzmpTrailerItem">
    <w:name w:val="zzmpTrailerItem"/>
    <w:basedOn w:val="DefaultParagraphFont"/>
    <w:rsid w:val="006645DA"/>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StyleStyleQuestionTimesAllcapsJustified">
    <w:name w:val="Style Style Question Times + All caps + Justified"/>
    <w:basedOn w:val="Normal"/>
    <w:next w:val="Normal"/>
    <w:link w:val="StyleStyleQuestionTimesAllcapsJustifiedChar"/>
    <w:rsid w:val="006C0EA1"/>
    <w:pPr>
      <w:widowControl/>
      <w:spacing w:line="480" w:lineRule="auto"/>
      <w:ind w:left="720" w:hanging="720"/>
      <w:jc w:val="both"/>
    </w:pPr>
    <w:rPr>
      <w:rFonts w:ascii="Times New Roman Bold" w:hAnsi="Times New Roman Bold"/>
      <w:b/>
      <w:bCs/>
      <w:caps/>
      <w:sz w:val="24"/>
      <w:szCs w:val="24"/>
    </w:rPr>
  </w:style>
  <w:style w:type="paragraph" w:customStyle="1" w:styleId="StyleAnswerTimesJustified">
    <w:name w:val="Style Answer Times + Justified"/>
    <w:basedOn w:val="Normal"/>
    <w:next w:val="Normal"/>
    <w:rsid w:val="006C0EA1"/>
    <w:pPr>
      <w:widowControl/>
      <w:spacing w:line="480" w:lineRule="auto"/>
      <w:ind w:left="720" w:hanging="720"/>
      <w:jc w:val="both"/>
    </w:pPr>
    <w:rPr>
      <w:sz w:val="24"/>
    </w:rPr>
  </w:style>
  <w:style w:type="character" w:customStyle="1" w:styleId="StyleStyleQuestionTimesAllcapsJustifiedChar">
    <w:name w:val="Style Style Question Times + All caps + Justified Char"/>
    <w:basedOn w:val="DefaultParagraphFont"/>
    <w:link w:val="StyleStyleQuestionTimesAllcapsJustified"/>
    <w:rsid w:val="006C0EA1"/>
    <w:rPr>
      <w:rFonts w:ascii="Times New Roman Bold" w:hAnsi="Times New Roman Bold"/>
      <w:b/>
      <w:bCs/>
      <w:caps/>
      <w:sz w:val="24"/>
      <w:szCs w:val="24"/>
      <w:lang w:val="en-US" w:eastAsia="en-US" w:bidi="ar-SA"/>
    </w:rPr>
  </w:style>
  <w:style w:type="paragraph" w:customStyle="1" w:styleId="question0">
    <w:name w:val="question"/>
    <w:basedOn w:val="Normal"/>
    <w:next w:val="Normal"/>
    <w:rsid w:val="00D85428"/>
    <w:pPr>
      <w:widowControl/>
      <w:spacing w:line="540" w:lineRule="atLeast"/>
      <w:ind w:left="720" w:hanging="720"/>
      <w:jc w:val="both"/>
    </w:pPr>
    <w:rPr>
      <w:rFonts w:ascii="Arial" w:hAnsi="Arial"/>
      <w:caps/>
      <w:sz w:val="24"/>
    </w:rPr>
  </w:style>
  <w:style w:type="paragraph" w:customStyle="1" w:styleId="Question1">
    <w:name w:val="$Question"/>
    <w:basedOn w:val="Normal"/>
    <w:next w:val="NormalIndent"/>
    <w:rsid w:val="002D10D1"/>
    <w:pPr>
      <w:spacing w:line="480" w:lineRule="exact"/>
      <w:ind w:left="576" w:hanging="576"/>
    </w:pPr>
    <w:rPr>
      <w:sz w:val="24"/>
    </w:rPr>
  </w:style>
  <w:style w:type="paragraph" w:customStyle="1" w:styleId="Answer0">
    <w:name w:val="$Answer"/>
    <w:basedOn w:val="Normal"/>
    <w:next w:val="NormalIndent"/>
    <w:rsid w:val="002D10D1"/>
    <w:pPr>
      <w:spacing w:line="480" w:lineRule="exact"/>
      <w:ind w:left="576" w:hanging="576"/>
    </w:pPr>
    <w:rPr>
      <w:sz w:val="24"/>
    </w:rPr>
  </w:style>
  <w:style w:type="paragraph" w:styleId="NormalIndent">
    <w:name w:val="Normal Indent"/>
    <w:basedOn w:val="Normal"/>
    <w:rsid w:val="002D10D1"/>
    <w:pPr>
      <w:spacing w:line="480" w:lineRule="exact"/>
      <w:ind w:left="576"/>
    </w:pPr>
    <w:rPr>
      <w:sz w:val="24"/>
    </w:rPr>
  </w:style>
  <w:style w:type="character" w:styleId="CommentReference">
    <w:name w:val="annotation reference"/>
    <w:basedOn w:val="DefaultParagraphFont"/>
    <w:rsid w:val="00D45491"/>
    <w:rPr>
      <w:sz w:val="16"/>
      <w:szCs w:val="16"/>
    </w:rPr>
  </w:style>
  <w:style w:type="paragraph" w:styleId="CommentText">
    <w:name w:val="annotation text"/>
    <w:basedOn w:val="Normal"/>
    <w:link w:val="CommentTextChar"/>
    <w:rsid w:val="00D45491"/>
  </w:style>
  <w:style w:type="paragraph" w:styleId="CommentSubject">
    <w:name w:val="annotation subject"/>
    <w:basedOn w:val="CommentText"/>
    <w:next w:val="CommentText"/>
    <w:semiHidden/>
    <w:rsid w:val="00D45491"/>
    <w:rPr>
      <w:b/>
      <w:bCs/>
    </w:rPr>
  </w:style>
  <w:style w:type="character" w:customStyle="1" w:styleId="BalloonTextChar">
    <w:name w:val="Balloon Text Char"/>
    <w:basedOn w:val="DefaultParagraphFont"/>
    <w:link w:val="BalloonText"/>
    <w:uiPriority w:val="99"/>
    <w:semiHidden/>
    <w:rsid w:val="00AC7E76"/>
    <w:rPr>
      <w:rFonts w:ascii="Tahoma" w:hAnsi="Tahoma" w:cs="Tahoma"/>
      <w:sz w:val="16"/>
      <w:szCs w:val="16"/>
      <w:lang w:val="en-US" w:eastAsia="en-US" w:bidi="ar-SA"/>
    </w:rPr>
  </w:style>
  <w:style w:type="character" w:customStyle="1" w:styleId="CommentTextChar">
    <w:name w:val="Comment Text Char"/>
    <w:basedOn w:val="DefaultParagraphFont"/>
    <w:link w:val="CommentText"/>
    <w:rsid w:val="00AC7E76"/>
    <w:rPr>
      <w:lang w:val="en-US" w:eastAsia="en-US" w:bidi="ar-SA"/>
    </w:rPr>
  </w:style>
  <w:style w:type="paragraph" w:customStyle="1" w:styleId="Normal1">
    <w:name w:val="Normal1"/>
    <w:basedOn w:val="Normal"/>
    <w:rsid w:val="00146D76"/>
    <w:pPr>
      <w:widowControl/>
    </w:pPr>
    <w:rPr>
      <w:sz w:val="24"/>
      <w:szCs w:val="24"/>
    </w:rPr>
  </w:style>
  <w:style w:type="character" w:customStyle="1" w:styleId="normalchar1">
    <w:name w:val="normal__char1"/>
    <w:basedOn w:val="DefaultParagraphFont"/>
    <w:rsid w:val="00146D76"/>
    <w:rPr>
      <w:rFonts w:ascii="Times New Roman" w:hAnsi="Times New Roman" w:cs="Times New Roman" w:hint="default"/>
      <w:sz w:val="24"/>
      <w:szCs w:val="24"/>
    </w:rPr>
  </w:style>
  <w:style w:type="paragraph" w:customStyle="1" w:styleId="QuestionTimes">
    <w:name w:val="Question Times"/>
    <w:basedOn w:val="Normal"/>
    <w:next w:val="AnswerTimes"/>
    <w:link w:val="QuestionTimesChar"/>
    <w:rsid w:val="00A849A4"/>
    <w:pPr>
      <w:widowControl/>
      <w:spacing w:line="480" w:lineRule="auto"/>
      <w:ind w:left="720" w:hanging="720"/>
      <w:jc w:val="both"/>
    </w:pPr>
    <w:rPr>
      <w:rFonts w:ascii="Times New Roman Bold" w:hAnsi="Times New Roman Bold"/>
      <w:b/>
      <w:caps/>
      <w:sz w:val="24"/>
      <w:szCs w:val="24"/>
    </w:rPr>
  </w:style>
  <w:style w:type="paragraph" w:customStyle="1" w:styleId="AnswerTimes">
    <w:name w:val="Answer Times"/>
    <w:basedOn w:val="QuestionTimes"/>
    <w:next w:val="QuestionTimes"/>
    <w:link w:val="AnswerTimesChar"/>
    <w:qFormat/>
    <w:rsid w:val="00A849A4"/>
    <w:rPr>
      <w:rFonts w:ascii="Times New Roman" w:hAnsi="Times New Roman"/>
      <w:b w:val="0"/>
      <w:caps w:val="0"/>
    </w:rPr>
  </w:style>
  <w:style w:type="character" w:customStyle="1" w:styleId="AnswerTimesChar">
    <w:name w:val="Answer Times Char"/>
    <w:basedOn w:val="QuestionTimesChar"/>
    <w:link w:val="AnswerTimes"/>
    <w:rsid w:val="00A849A4"/>
    <w:rPr>
      <w:rFonts w:ascii="Times New Roman Bold" w:hAnsi="Times New Roman Bold"/>
      <w:b/>
      <w:caps/>
      <w:sz w:val="24"/>
      <w:szCs w:val="24"/>
    </w:rPr>
  </w:style>
  <w:style w:type="character" w:customStyle="1" w:styleId="QuestionTimesChar">
    <w:name w:val="Question Times Char"/>
    <w:basedOn w:val="DefaultParagraphFont"/>
    <w:link w:val="QuestionTimes"/>
    <w:rsid w:val="00A849A4"/>
    <w:rPr>
      <w:rFonts w:ascii="Times New Roman Bold" w:hAnsi="Times New Roman Bold"/>
      <w:b/>
      <w:caps/>
      <w:sz w:val="24"/>
      <w:szCs w:val="24"/>
    </w:rPr>
  </w:style>
  <w:style w:type="paragraph" w:styleId="Revision">
    <w:name w:val="Revision"/>
    <w:hidden/>
    <w:uiPriority w:val="99"/>
    <w:semiHidden/>
    <w:rsid w:val="00B934C5"/>
  </w:style>
  <w:style w:type="paragraph" w:customStyle="1" w:styleId="g">
    <w:name w:val="g"/>
    <w:basedOn w:val="Normal"/>
    <w:rsid w:val="004C77B8"/>
    <w:pPr>
      <w:widowControl/>
      <w:spacing w:line="360" w:lineRule="auto"/>
      <w:ind w:left="720" w:hanging="720"/>
      <w:jc w:val="both"/>
    </w:pPr>
    <w:rPr>
      <w:sz w:val="24"/>
      <w:szCs w:val="24"/>
    </w:rPr>
  </w:style>
  <w:style w:type="paragraph" w:customStyle="1" w:styleId="Answer">
    <w:name w:val="Answer"/>
    <w:basedOn w:val="BodyText"/>
    <w:next w:val="question0"/>
    <w:link w:val="AnswerChar"/>
    <w:qFormat/>
    <w:rsid w:val="00BE387A"/>
    <w:pPr>
      <w:widowControl/>
      <w:numPr>
        <w:numId w:val="15"/>
      </w:numPr>
      <w:spacing w:after="120" w:line="480" w:lineRule="auto"/>
      <w:jc w:val="left"/>
    </w:pPr>
    <w:rPr>
      <w:rFonts w:ascii="Times New Roman" w:hAnsi="Times New Roman"/>
      <w:color w:val="auto"/>
      <w:szCs w:val="24"/>
    </w:rPr>
  </w:style>
  <w:style w:type="character" w:customStyle="1" w:styleId="AnswerChar">
    <w:name w:val="Answer Char"/>
    <w:basedOn w:val="DefaultParagraphFont"/>
    <w:link w:val="Answer"/>
    <w:rsid w:val="00BE387A"/>
    <w:rPr>
      <w:sz w:val="24"/>
      <w:szCs w:val="24"/>
    </w:rPr>
  </w:style>
  <w:style w:type="character" w:customStyle="1" w:styleId="FooterChar">
    <w:name w:val="Footer Char"/>
    <w:link w:val="Footer"/>
    <w:uiPriority w:val="99"/>
    <w:rsid w:val="00542475"/>
  </w:style>
  <w:style w:type="paragraph" w:customStyle="1" w:styleId="Question">
    <w:name w:val="Question"/>
    <w:basedOn w:val="Normal"/>
    <w:rsid w:val="00542475"/>
    <w:pPr>
      <w:widowControl/>
      <w:numPr>
        <w:numId w:val="25"/>
      </w:numPr>
      <w:tabs>
        <w:tab w:val="decimal" w:pos="720"/>
      </w:tabs>
      <w:spacing w:line="360" w:lineRule="auto"/>
      <w:jc w:val="both"/>
    </w:pPr>
    <w:rPr>
      <w:rFonts w:ascii="Times New Roman Bold" w:hAnsi="Times New Roman Bold" w:cs="Arial"/>
      <w:b/>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159190">
      <w:bodyDiv w:val="1"/>
      <w:marLeft w:val="0"/>
      <w:marRight w:val="0"/>
      <w:marTop w:val="0"/>
      <w:marBottom w:val="0"/>
      <w:divBdr>
        <w:top w:val="none" w:sz="0" w:space="0" w:color="auto"/>
        <w:left w:val="none" w:sz="0" w:space="0" w:color="auto"/>
        <w:bottom w:val="none" w:sz="0" w:space="0" w:color="auto"/>
        <w:right w:val="none" w:sz="0" w:space="0" w:color="auto"/>
      </w:divBdr>
    </w:div>
    <w:div w:id="465659026">
      <w:bodyDiv w:val="1"/>
      <w:marLeft w:val="0"/>
      <w:marRight w:val="0"/>
      <w:marTop w:val="0"/>
      <w:marBottom w:val="0"/>
      <w:divBdr>
        <w:top w:val="none" w:sz="0" w:space="0" w:color="auto"/>
        <w:left w:val="none" w:sz="0" w:space="0" w:color="auto"/>
        <w:bottom w:val="none" w:sz="0" w:space="0" w:color="auto"/>
        <w:right w:val="none" w:sz="0" w:space="0" w:color="auto"/>
      </w:divBdr>
    </w:div>
    <w:div w:id="623534842">
      <w:bodyDiv w:val="1"/>
      <w:marLeft w:val="0"/>
      <w:marRight w:val="0"/>
      <w:marTop w:val="0"/>
      <w:marBottom w:val="0"/>
      <w:divBdr>
        <w:top w:val="none" w:sz="0" w:space="0" w:color="auto"/>
        <w:left w:val="none" w:sz="0" w:space="0" w:color="auto"/>
        <w:bottom w:val="none" w:sz="0" w:space="0" w:color="auto"/>
        <w:right w:val="none" w:sz="0" w:space="0" w:color="auto"/>
      </w:divBdr>
    </w:div>
    <w:div w:id="718866723">
      <w:bodyDiv w:val="1"/>
      <w:marLeft w:val="0"/>
      <w:marRight w:val="0"/>
      <w:marTop w:val="0"/>
      <w:marBottom w:val="0"/>
      <w:divBdr>
        <w:top w:val="none" w:sz="0" w:space="0" w:color="auto"/>
        <w:left w:val="none" w:sz="0" w:space="0" w:color="auto"/>
        <w:bottom w:val="none" w:sz="0" w:space="0" w:color="auto"/>
        <w:right w:val="none" w:sz="0" w:space="0" w:color="auto"/>
      </w:divBdr>
    </w:div>
    <w:div w:id="755130020">
      <w:bodyDiv w:val="1"/>
      <w:marLeft w:val="0"/>
      <w:marRight w:val="0"/>
      <w:marTop w:val="0"/>
      <w:marBottom w:val="0"/>
      <w:divBdr>
        <w:top w:val="none" w:sz="0" w:space="0" w:color="auto"/>
        <w:left w:val="none" w:sz="0" w:space="0" w:color="auto"/>
        <w:bottom w:val="none" w:sz="0" w:space="0" w:color="auto"/>
        <w:right w:val="none" w:sz="0" w:space="0" w:color="auto"/>
      </w:divBdr>
    </w:div>
    <w:div w:id="816264874">
      <w:bodyDiv w:val="1"/>
      <w:marLeft w:val="0"/>
      <w:marRight w:val="0"/>
      <w:marTop w:val="0"/>
      <w:marBottom w:val="0"/>
      <w:divBdr>
        <w:top w:val="none" w:sz="0" w:space="0" w:color="auto"/>
        <w:left w:val="none" w:sz="0" w:space="0" w:color="auto"/>
        <w:bottom w:val="none" w:sz="0" w:space="0" w:color="auto"/>
        <w:right w:val="none" w:sz="0" w:space="0" w:color="auto"/>
      </w:divBdr>
    </w:div>
    <w:div w:id="858078906">
      <w:bodyDiv w:val="1"/>
      <w:marLeft w:val="0"/>
      <w:marRight w:val="0"/>
      <w:marTop w:val="0"/>
      <w:marBottom w:val="0"/>
      <w:divBdr>
        <w:top w:val="none" w:sz="0" w:space="0" w:color="auto"/>
        <w:left w:val="none" w:sz="0" w:space="0" w:color="auto"/>
        <w:bottom w:val="none" w:sz="0" w:space="0" w:color="auto"/>
        <w:right w:val="none" w:sz="0" w:space="0" w:color="auto"/>
      </w:divBdr>
    </w:div>
    <w:div w:id="1199928052">
      <w:bodyDiv w:val="1"/>
      <w:marLeft w:val="0"/>
      <w:marRight w:val="0"/>
      <w:marTop w:val="0"/>
      <w:marBottom w:val="0"/>
      <w:divBdr>
        <w:top w:val="none" w:sz="0" w:space="0" w:color="auto"/>
        <w:left w:val="none" w:sz="0" w:space="0" w:color="auto"/>
        <w:bottom w:val="none" w:sz="0" w:space="0" w:color="auto"/>
        <w:right w:val="none" w:sz="0" w:space="0" w:color="auto"/>
      </w:divBdr>
    </w:div>
    <w:div w:id="1568225886">
      <w:bodyDiv w:val="1"/>
      <w:marLeft w:val="0"/>
      <w:marRight w:val="0"/>
      <w:marTop w:val="0"/>
      <w:marBottom w:val="0"/>
      <w:divBdr>
        <w:top w:val="none" w:sz="0" w:space="0" w:color="auto"/>
        <w:left w:val="none" w:sz="0" w:space="0" w:color="auto"/>
        <w:bottom w:val="none" w:sz="0" w:space="0" w:color="auto"/>
        <w:right w:val="none" w:sz="0" w:space="0" w:color="auto"/>
      </w:divBdr>
    </w:div>
    <w:div w:id="1915972415">
      <w:bodyDiv w:val="1"/>
      <w:marLeft w:val="0"/>
      <w:marRight w:val="0"/>
      <w:marTop w:val="0"/>
      <w:marBottom w:val="0"/>
      <w:divBdr>
        <w:top w:val="none" w:sz="0" w:space="0" w:color="auto"/>
        <w:left w:val="none" w:sz="0" w:space="0" w:color="auto"/>
        <w:bottom w:val="none" w:sz="0" w:space="0" w:color="auto"/>
        <w:right w:val="none" w:sz="0" w:space="0" w:color="auto"/>
      </w:divBdr>
    </w:div>
    <w:div w:id="197737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68979-E0B7-48AE-919C-679C0EC18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9406</Words>
  <Characters>53615</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Pryor, Allison</cp:lastModifiedBy>
  <cp:revision>3</cp:revision>
  <dcterms:created xsi:type="dcterms:W3CDTF">2019-11-15T19:23:00Z</dcterms:created>
  <dcterms:modified xsi:type="dcterms:W3CDTF">2019-11-15T19:37:00Z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ABAAJXrvhtoYpC5K7NimHInvV1uWRIR1SN3Y8bVTR6WBi6RmrHWvfKLi4NgH8egcXTLV</vt:lpwstr>
  </property>
  <property fmtid="{D5CDD505-2E9C-101B-9397-08002B2CF9AE}" pid="3" name="MAIL_MSG_ID1">
    <vt:lpwstr>gFAA5ajW4yTOEjv43gkix+6qLYnqzECfftuAov87NItuRs4q2BI+Q3UlifafprfZyrIRh8nPlYSuNn8f
nV1ZBwSgLCX7DKMrFalyau1/QFqZ8kZnwA35We6DmiKMoxQYq0tWGAS3CzwxxUYISNcfu8T5sLaw
56ldBFRIafkxlvCgLFWc3ncQRNgKCRHw4VzexbEWA5hclfrLHdEoFCAYAxQ2/hGexAF2UHJVR7Uq
aHZ8WtiCm/dSq7JHa</vt:lpwstr>
  </property>
  <property fmtid="{D5CDD505-2E9C-101B-9397-08002B2CF9AE}" pid="4" name="MAIL_MSG_ID2">
    <vt:lpwstr>2npiZHYrrgOJel+Wr1h+W2T0RrE2okD21vxNJRnT3x2kwL9uaQpUfoXb+8j
tYOWlHO65i6e81g663Da+dGGyqHuxrRnHCjn6A==</vt:lpwstr>
  </property>
  <property fmtid="{D5CDD505-2E9C-101B-9397-08002B2CF9AE}" pid="5" name="RESPONSE_SENDER_NAME">
    <vt:lpwstr>4AAAyjQjm0EOGgKrT+fXhMvdVjVFfPvgLLpIg/8QhvLzpWDqo5j+pXPxww==</vt:lpwstr>
  </property>
  <property fmtid="{D5CDD505-2E9C-101B-9397-08002B2CF9AE}" pid="6" name="_NewReviewCycle">
    <vt:lpwstr/>
  </property>
</Properties>
</file>